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840" w:leader="none"/>
        </w:tabs>
        <w:jc w:val="center"/>
        <w:rPr>
          <w:rFonts w:ascii="Tw Cen MT" w:hAnsi="Tw Cen MT" w:eastAsia="Times New Roman" w:cs="Times New Roman"/>
          <w:b w:val="false"/>
          <w:b w:val="false"/>
          <w:bCs w:val="false"/>
          <w:i w:val="false"/>
          <w:i w:val="false"/>
          <w:color w:val="000000" w:themeColor="text1"/>
          <w:sz w:val="32"/>
          <w:szCs w:val="28"/>
          <w:lang w:eastAsia="en-US"/>
        </w:rPr>
      </w:pPr>
      <w:bookmarkStart w:id="0" w:name="_Toc466475027"/>
      <w:r>
        <w:rPr>
          <w:rFonts w:eastAsia="Times New Roman" w:cs="Times New Roman"/>
          <w:b w:val="false"/>
          <w:bCs w:val="false"/>
          <w:i w:val="false"/>
          <w:color w:val="000000" w:themeColor="text1"/>
          <w:sz w:val="32"/>
          <w:szCs w:val="28"/>
          <w:lang w:eastAsia="en-US"/>
        </w:rPr>
        <w:t>A</w:t>
      </w:r>
      <w:r>
        <w:rPr>
          <w:rFonts w:eastAsia="Times New Roman" w:cs="Times New Roman"/>
          <w:b w:val="false"/>
          <w:bCs w:val="false"/>
          <w:i w:val="false"/>
          <w:color w:val="000000" w:themeColor="text1"/>
          <w:sz w:val="32"/>
          <w:szCs w:val="28"/>
          <w:lang w:eastAsia="en-US"/>
        </w:rPr>
        <w:t>llegato</w:t>
      </w:r>
      <w:r>
        <w:rPr>
          <w:rFonts w:eastAsia="Times New Roman" w:cs="Times New Roman"/>
          <w:b w:val="false"/>
          <w:bCs w:val="false"/>
          <w:i w:val="false"/>
          <w:color w:val="000000" w:themeColor="text1"/>
          <w:sz w:val="32"/>
          <w:szCs w:val="28"/>
          <w:lang w:eastAsia="en-US"/>
        </w:rPr>
        <w:t xml:space="preserve"> F</w:t>
      </w:r>
    </w:p>
    <w:p>
      <w:pPr>
        <w:pStyle w:val="Normal"/>
        <w:tabs>
          <w:tab w:val="left" w:pos="3840" w:leader="none"/>
        </w:tabs>
        <w:jc w:val="center"/>
        <w:rPr>
          <w:rFonts w:ascii="Tw Cen MT" w:hAnsi="Tw Cen MT" w:eastAsia="Times New Roman" w:cs="Times New Roman"/>
          <w:b w:val="false"/>
          <w:b w:val="false"/>
          <w:bCs w:val="false"/>
          <w:i w:val="false"/>
          <w:i w:val="false"/>
          <w:color w:val="000000" w:themeColor="text1"/>
          <w:sz w:val="32"/>
          <w:szCs w:val="28"/>
          <w:lang w:eastAsia="en-US"/>
        </w:rPr>
      </w:pPr>
      <w:r>
        <w:rPr>
          <w:rFonts w:eastAsia="Times New Roman" w:cs="Times New Roman"/>
          <w:b w:val="false"/>
          <w:bCs w:val="false"/>
          <w:i w:val="false"/>
          <w:color w:val="000000" w:themeColor="text1"/>
          <w:sz w:val="32"/>
          <w:szCs w:val="28"/>
          <w:lang w:eastAsia="en-US"/>
        </w:rPr>
      </w:r>
    </w:p>
    <w:p>
      <w:pPr>
        <w:pStyle w:val="Normal"/>
        <w:tabs>
          <w:tab w:val="left" w:pos="3840" w:leader="none"/>
        </w:tabs>
        <w:jc w:val="center"/>
        <w:rPr>
          <w:rFonts w:ascii="Tw Cen MT" w:hAnsi="Tw Cen MT" w:eastAsia="Times New Roman" w:cs="Times New Roman"/>
          <w:b w:val="false"/>
          <w:b w:val="false"/>
          <w:bCs w:val="false"/>
          <w:i w:val="false"/>
          <w:i w:val="false"/>
          <w:color w:val="000000" w:themeColor="text1"/>
          <w:sz w:val="32"/>
          <w:szCs w:val="28"/>
          <w:lang w:eastAsia="en-US"/>
        </w:rPr>
      </w:pPr>
      <w:r>
        <w:rPr>
          <w:rFonts w:eastAsia="Times New Roman" w:cs="Times New Roman"/>
          <w:b w:val="false"/>
          <w:bCs w:val="false"/>
          <w:i w:val="false"/>
          <w:color w:val="000000" w:themeColor="text1"/>
          <w:sz w:val="32"/>
          <w:szCs w:val="28"/>
          <w:lang w:eastAsia="en-US"/>
        </w:rPr>
        <w:t>I</w:t>
      </w:r>
      <w:r>
        <w:rPr>
          <w:rFonts w:eastAsia="Times New Roman" w:cs="Times New Roman"/>
          <w:b w:val="false"/>
          <w:bCs w:val="false"/>
          <w:i w:val="false"/>
          <w:color w:val="000000" w:themeColor="text1"/>
          <w:sz w:val="32"/>
          <w:szCs w:val="28"/>
          <w:lang w:eastAsia="en-US"/>
        </w:rPr>
        <w:t>NFORMATIVE</w:t>
      </w:r>
    </w:p>
    <w:p>
      <w:pPr>
        <w:pStyle w:val="Normal"/>
        <w:keepNext w:val="true"/>
        <w:keepLines/>
        <w:numPr>
          <w:ilvl w:val="0"/>
          <w:numId w:val="0"/>
        </w:numPr>
        <w:spacing w:lineRule="auto" w:line="276" w:before="480" w:after="60"/>
        <w:jc w:val="center"/>
        <w:outlineLvl w:val="1"/>
        <w:rPr/>
      </w:pPr>
      <w:bookmarkStart w:id="1" w:name="_Toc466475027"/>
      <w:r>
        <w:rPr>
          <w:rFonts w:eastAsia="Times New Roman" w:cs="Times New Roman"/>
          <w:bCs/>
          <w:i w:val="false"/>
          <w:color w:val="000000" w:themeColor="text1"/>
          <w:sz w:val="32"/>
          <w:szCs w:val="28"/>
          <w:lang w:eastAsia="en-US"/>
        </w:rPr>
        <w:t>ISTRUZIONI PER LA COMPILAZIONE DELLE DICHIARAZIONI ‘DE MINIMIS’</w:t>
      </w:r>
      <w:bookmarkEnd w:id="1"/>
      <w:r>
        <w:rPr>
          <w:rStyle w:val="Richiamoallanotaapidipagina"/>
          <w:rFonts w:eastAsia="Times New Roman" w:cs="Times New Roman"/>
          <w:bCs/>
          <w:i w:val="false"/>
          <w:color w:val="000000" w:themeColor="text1"/>
          <w:sz w:val="22"/>
          <w:szCs w:val="28"/>
          <w:lang w:eastAsia="en-US"/>
        </w:rPr>
        <w:footnoteReference w:id="2"/>
      </w:r>
    </w:p>
    <w:p>
      <w:pPr>
        <w:pStyle w:val="Normal"/>
        <w:spacing w:lineRule="atLeast" w:line="100"/>
        <w:ind w:right="142" w:hanging="0"/>
        <w:jc w:val="both"/>
        <w:rPr>
          <w:rFonts w:eastAsia="Times New Roman" w:cs="Garamond"/>
          <w:b/>
          <w:b/>
          <w:i w:val="false"/>
          <w:i w:val="false"/>
          <w:sz w:val="20"/>
          <w:szCs w:val="20"/>
          <w:lang w:eastAsia="en-US"/>
        </w:rPr>
      </w:pPr>
      <w:r>
        <w:rPr>
          <w:rFonts w:eastAsia="Times New Roman" w:cs="Garamond"/>
          <w:b/>
          <w:i w:val="false"/>
          <w:sz w:val="20"/>
          <w:szCs w:val="20"/>
          <w:lang w:eastAsia="en-US"/>
        </w:rPr>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 xml:space="preserve">Il legale rappresentante di ogni impresa candidata a ricevere un aiuto in regime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è tenuto a sottoscrivere una dichiarazione – rilasciata ai sensi dell’art. 47 del DPR 445/2000 – che attesti l’ammontare degli aiuti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ottenuti nell’esercizio finanziario in corso e nei due precedenti. </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 xml:space="preserve">Il nuovo aiuto potrà essere concesso solo se, sommato a quelli già ottenuti nei tre esercizi finanziari suddetti, non superi i massimali stabiliti da ogni Regolamento di riferimento. </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Poiché il momento rilevante per la verifica dell’ammissibilità è quello in cui avviene la concessione (il momento in cui sorge il diritto all’agevolazione), la dichiarazione dovrà essere confermata – o aggiornata – con riferimento al momento della concessione.</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Si ricorda che se con la concessione Y fosse superato il massimale previsto, l’impresa perderebbe il diritto non all’importo in eccedenza, ma all’intero importo dell’aiuto oggetto della concessione Y in conseguenza del quale tale massimale è stato superato.</w:t>
      </w:r>
    </w:p>
    <w:p>
      <w:pPr>
        <w:pStyle w:val="Normal"/>
        <w:spacing w:lineRule="atLeast" w:line="100"/>
        <w:ind w:right="142" w:hanging="0"/>
        <w:jc w:val="both"/>
        <w:rPr>
          <w:rFonts w:eastAsia="Times New Roman" w:cs="Garamond"/>
          <w:b/>
          <w:b/>
          <w:i w:val="false"/>
          <w:i w:val="false"/>
          <w:sz w:val="22"/>
          <w:szCs w:val="22"/>
          <w:lang w:eastAsia="en-US"/>
        </w:rPr>
      </w:pPr>
      <w:r>
        <w:rPr>
          <w:rFonts w:eastAsia="Times New Roman" w:cs="Garamond"/>
          <w:b/>
          <w:i w:val="false"/>
          <w:sz w:val="22"/>
          <w:szCs w:val="22"/>
          <w:lang w:eastAsia="en-US"/>
        </w:rPr>
      </w:r>
    </w:p>
    <w:p>
      <w:pPr>
        <w:pStyle w:val="Normal"/>
        <w:jc w:val="both"/>
        <w:rPr>
          <w:rFonts w:cs="Calibri"/>
          <w:b/>
          <w:b/>
          <w:bCs/>
          <w:i w:val="false"/>
          <w:i w:val="false"/>
          <w:sz w:val="22"/>
          <w:szCs w:val="22"/>
          <w:lang w:eastAsia="en-US"/>
        </w:rPr>
      </w:pPr>
      <w:r>
        <w:rPr>
          <w:rFonts w:cs="Calibri"/>
          <w:b/>
          <w:bCs/>
          <w:i w:val="false"/>
          <w:sz w:val="22"/>
          <w:szCs w:val="22"/>
          <w:lang w:eastAsia="en-US"/>
        </w:rPr>
        <w:t>Sezione A: Come individuare il beneficiario – Il concetto di “controllo” e l’impresa unica.</w:t>
      </w:r>
    </w:p>
    <w:p>
      <w:pPr>
        <w:pStyle w:val="Normal"/>
        <w:spacing w:lineRule="atLeast" w:line="10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tabs>
          <w:tab w:val="left" w:pos="5245" w:leader="none"/>
        </w:tabs>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Le regole europee stabiliscono che, ai fini della verifica del rispetto dei massimali, “</w:t>
      </w:r>
      <w:r>
        <w:rPr>
          <w:rFonts w:eastAsia="Times New Roman" w:cs="Garamond"/>
          <w:iCs/>
          <w:sz w:val="22"/>
          <w:szCs w:val="22"/>
          <w:lang w:eastAsia="en-US"/>
        </w:rPr>
        <w:t>le entità controllate (di diritto o di fatto) dalla stessa entità debbano essere considerate come un’unica impresa beneficiaria</w:t>
      </w:r>
      <w:r>
        <w:rPr>
          <w:rFonts w:eastAsia="Times New Roman" w:cs="Garamond"/>
          <w:i w:val="false"/>
          <w:sz w:val="22"/>
          <w:szCs w:val="22"/>
          <w:lang w:eastAsia="en-US"/>
        </w:rPr>
        <w:t xml:space="preserve">”. Ne consegue che nel rilasciare la dichiarazione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alla “impresa unica”. </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Il rapporto di collegamento (controllo) può essere anche indiretto, cioè può sussistere anche per il tramite di un’impresa terza.</w:t>
      </w:r>
    </w:p>
    <w:p>
      <w:pPr>
        <w:pStyle w:val="Normal"/>
        <w:spacing w:lineRule="atLeast" w:line="100"/>
        <w:jc w:val="both"/>
        <w:rPr>
          <w:rFonts w:eastAsia="Times New Roman" w:cs="Garamond"/>
          <w:i w:val="false"/>
          <w:i w:val="false"/>
          <w:sz w:val="22"/>
          <w:szCs w:val="22"/>
          <w:lang w:eastAsia="en-US"/>
        </w:rPr>
      </w:pPr>
      <w:r>
        <w:rPr>
          <w:rFonts w:eastAsia="Times New Roman" w:cs="Garamond"/>
          <w:i w:val="false"/>
          <w:sz w:val="22"/>
          <w:szCs w:val="22"/>
          <w:lang w:eastAsia="en-US"/>
        </w:rPr>
      </w:r>
    </w:p>
    <w:tbl>
      <w:tblPr>
        <w:tblW w:w="9861"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08" w:type="dxa"/>
          <w:bottom w:w="113" w:type="dxa"/>
          <w:right w:w="113" w:type="dxa"/>
        </w:tblCellMar>
        <w:tblLook w:firstRow="0" w:noVBand="0" w:lastRow="0" w:firstColumn="0" w:lastColumn="0" w:noHBand="0" w:val="0000"/>
      </w:tblPr>
      <w:tblGrid>
        <w:gridCol w:w="9861"/>
      </w:tblGrid>
      <w:tr>
        <w:trPr/>
        <w:tc>
          <w:tcPr>
            <w:tcW w:w="9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Normal"/>
              <w:spacing w:lineRule="atLeast" w:line="100" w:before="0" w:after="160"/>
              <w:ind w:left="240" w:hanging="240"/>
              <w:jc w:val="both"/>
              <w:rPr>
                <w:rFonts w:eastAsia="Times New Roman" w:cs="Garamond"/>
                <w:b/>
                <w:b/>
                <w:bCs/>
                <w:i w:val="false"/>
                <w:i w:val="false"/>
                <w:sz w:val="22"/>
                <w:szCs w:val="22"/>
                <w:lang w:eastAsia="en-US"/>
              </w:rPr>
            </w:pPr>
            <w:r>
              <w:rPr>
                <w:rFonts w:eastAsia="Times New Roman" w:cs="Garamond"/>
                <w:b/>
                <w:bCs/>
                <w:i w:val="false"/>
                <w:sz w:val="22"/>
                <w:szCs w:val="22"/>
                <w:lang w:eastAsia="en-US"/>
              </w:rPr>
              <w:t>Art. 2, par. 2 Regolamento n. 1408/2013/UE</w:t>
            </w:r>
          </w:p>
          <w:p>
            <w:pPr>
              <w:pStyle w:val="Normal"/>
              <w:spacing w:lineRule="atLeast" w:line="100"/>
              <w:jc w:val="both"/>
              <w:rPr>
                <w:rFonts w:eastAsia="Times New Roman" w:cs="Garamond"/>
                <w:i w:val="false"/>
                <w:i w:val="false"/>
                <w:iCs/>
                <w:sz w:val="22"/>
                <w:szCs w:val="22"/>
                <w:lang w:eastAsia="en-US"/>
              </w:rPr>
            </w:pPr>
            <w:r>
              <w:rPr>
                <w:rFonts w:eastAsia="Times New Roman" w:cs="Garamond"/>
                <w:i w:val="false"/>
                <w:iCs/>
                <w:sz w:val="22"/>
                <w:szCs w:val="22"/>
                <w:lang w:eastAsia="en-US"/>
              </w:rPr>
              <w:t>Ai fini del presente regolamento, s'intende per «impresa unica» l’insieme delle imprese fra le quali esiste almeno una delle relazioni seguenti:</w:t>
            </w:r>
          </w:p>
          <w:p>
            <w:pPr>
              <w:pStyle w:val="Normal"/>
              <w:spacing w:lineRule="atLeast" w:line="100"/>
              <w:ind w:left="360" w:hanging="360"/>
              <w:jc w:val="both"/>
              <w:rPr>
                <w:rFonts w:eastAsia="Times New Roman" w:cs="Garamond"/>
                <w:i w:val="false"/>
                <w:i w:val="false"/>
                <w:iCs/>
                <w:sz w:val="22"/>
                <w:szCs w:val="22"/>
                <w:lang w:eastAsia="en-US"/>
              </w:rPr>
            </w:pPr>
            <w:r>
              <w:rPr>
                <w:rFonts w:eastAsia="Times New Roman" w:cs="Garamond"/>
                <w:i w:val="false"/>
                <w:iCs/>
                <w:sz w:val="22"/>
                <w:szCs w:val="22"/>
                <w:lang w:eastAsia="en-US"/>
              </w:rPr>
              <w:t>a)  un’impresa detiene la maggioranza dei diritti di voto degli azionisti o soci di un’altra impresa;</w:t>
            </w:r>
          </w:p>
          <w:p>
            <w:pPr>
              <w:pStyle w:val="Normal"/>
              <w:spacing w:lineRule="atLeast" w:line="100"/>
              <w:ind w:left="360" w:hanging="360"/>
              <w:jc w:val="both"/>
              <w:rPr>
                <w:rFonts w:eastAsia="Times New Roman" w:cs="Garamond"/>
                <w:i w:val="false"/>
                <w:i w:val="false"/>
                <w:iCs/>
                <w:sz w:val="22"/>
                <w:szCs w:val="22"/>
                <w:lang w:eastAsia="en-US"/>
              </w:rPr>
            </w:pPr>
            <w:r>
              <w:rPr>
                <w:rFonts w:eastAsia="Times New Roman" w:cs="Garamond"/>
                <w:i w:val="false"/>
                <w:iCs/>
                <w:sz w:val="22"/>
                <w:szCs w:val="22"/>
                <w:lang w:eastAsia="en-US"/>
              </w:rPr>
              <w:t>b) un’impresa ha il diritto di nominare o revocare la maggioranza dei membri del consiglio di amministrazione, direzione o sorveglianza di un’altra impresa;</w:t>
            </w:r>
          </w:p>
          <w:p>
            <w:pPr>
              <w:pStyle w:val="Normal"/>
              <w:spacing w:lineRule="atLeast" w:line="100"/>
              <w:ind w:left="360" w:hanging="360"/>
              <w:jc w:val="both"/>
              <w:rPr>
                <w:rFonts w:eastAsia="Times New Roman" w:cs="Garamond"/>
                <w:i w:val="false"/>
                <w:i w:val="false"/>
                <w:iCs/>
                <w:sz w:val="22"/>
                <w:szCs w:val="22"/>
                <w:lang w:eastAsia="en-US"/>
              </w:rPr>
            </w:pPr>
            <w:r>
              <w:rPr>
                <w:rFonts w:eastAsia="Times New Roman" w:cs="Garamond"/>
                <w:i w:val="false"/>
                <w:iCs/>
                <w:sz w:val="22"/>
                <w:szCs w:val="22"/>
                <w:lang w:eastAsia="en-US"/>
              </w:rPr>
              <w:t>c) un’impresa ha il diritto di esercitare un’influenza dominante su un’altra impresa in virtù di un contratto concluso con quest’ultima oppure in virtù di una clausola dello statuto di quest’ultima;</w:t>
            </w:r>
          </w:p>
          <w:p>
            <w:pPr>
              <w:pStyle w:val="Normal"/>
              <w:spacing w:lineRule="atLeast" w:line="100"/>
              <w:ind w:left="360" w:hanging="360"/>
              <w:jc w:val="both"/>
              <w:rPr>
                <w:rFonts w:eastAsia="Times New Roman" w:cs="Garamond"/>
                <w:i w:val="false"/>
                <w:i w:val="false"/>
                <w:iCs/>
                <w:sz w:val="22"/>
                <w:szCs w:val="22"/>
                <w:lang w:eastAsia="en-US"/>
              </w:rPr>
            </w:pPr>
            <w:r>
              <w:rPr>
                <w:rFonts w:eastAsia="Times New Roman" w:cs="Garamond"/>
                <w:i w:val="false"/>
                <w:iCs/>
                <w:sz w:val="22"/>
                <w:szCs w:val="22"/>
                <w:lang w:eastAsia="en-US"/>
              </w:rPr>
              <w:t>d) un’impresa azionista o socia di un’altra impresa controlla da sola, in virtù di un accordo stipulato con altri azionisti o soci dell’altra impresa, la maggioranza dei diritti di voto degli azionisti o soci di quest’ultima.</w:t>
            </w:r>
          </w:p>
          <w:p>
            <w:pPr>
              <w:pStyle w:val="Normal"/>
              <w:spacing w:lineRule="atLeast" w:line="100"/>
              <w:jc w:val="both"/>
              <w:rPr>
                <w:rFonts w:cs="Times New Roman"/>
                <w:i w:val="false"/>
                <w:i w:val="false"/>
                <w:sz w:val="22"/>
                <w:szCs w:val="22"/>
                <w:lang w:eastAsia="en-US"/>
              </w:rPr>
            </w:pPr>
            <w:r>
              <w:rPr>
                <w:rFonts w:eastAsia="Times New Roman" w:cs="Garamond"/>
                <w:i w:val="false"/>
                <w:iCs/>
                <w:sz w:val="22"/>
                <w:szCs w:val="22"/>
                <w:lang w:eastAsia="en-US"/>
              </w:rPr>
              <w:t>Le imprese fra le quali intercorre una delle relazioni di cui al primo comma, lettere da a) a d), per il tramite di una o più altre imprese sono anch’esse considerate un’impresa unica.</w:t>
            </w:r>
          </w:p>
        </w:tc>
      </w:tr>
    </w:tbl>
    <w:p>
      <w:pPr>
        <w:pStyle w:val="Normal"/>
        <w:spacing w:lineRule="atLeast" w:line="100"/>
        <w:ind w:right="142" w:hanging="0"/>
        <w:jc w:val="both"/>
        <w:rPr>
          <w:rFonts w:cs="Times New Roman"/>
          <w:i w:val="false"/>
          <w:i w:val="false"/>
          <w:sz w:val="22"/>
          <w:szCs w:val="22"/>
          <w:lang w:eastAsia="en-US"/>
        </w:rPr>
      </w:pPr>
      <w:r>
        <w:rPr>
          <w:rFonts w:cs="Times New Roman"/>
          <w:i w:val="false"/>
          <w:sz w:val="22"/>
          <w:szCs w:val="22"/>
          <w:lang w:eastAsia="en-US"/>
        </w:rPr>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pPr>
        <w:pStyle w:val="Normal"/>
        <w:jc w:val="both"/>
        <w:rPr>
          <w:rFonts w:cs="Calibri"/>
          <w:b/>
          <w:b/>
          <w:bCs/>
          <w:i w:val="false"/>
          <w:i w:val="false"/>
          <w:sz w:val="22"/>
          <w:szCs w:val="22"/>
          <w:lang w:eastAsia="en-US"/>
        </w:rPr>
      </w:pPr>
      <w:r>
        <w:rPr>
          <w:rFonts w:cs="Calibri"/>
          <w:b/>
          <w:bCs/>
          <w:i w:val="false"/>
          <w:sz w:val="22"/>
          <w:szCs w:val="22"/>
          <w:lang w:eastAsia="en-US"/>
        </w:rPr>
        <w:t>Sezione B: Rispetto del massimale.</w:t>
      </w:r>
    </w:p>
    <w:p>
      <w:pPr>
        <w:pStyle w:val="Normal"/>
        <w:spacing w:lineRule="atLeast" w:line="100"/>
        <w:jc w:val="both"/>
        <w:rPr>
          <w:rFonts w:eastAsia="Times New Roman" w:cs="Garamond"/>
          <w:iCs/>
          <w:sz w:val="22"/>
          <w:szCs w:val="22"/>
          <w:lang w:eastAsia="en-US"/>
        </w:rPr>
      </w:pPr>
      <w:r>
        <w:rPr>
          <w:rFonts w:eastAsia="Times New Roman" w:cs="Garamond"/>
          <w:iCs/>
          <w:sz w:val="22"/>
          <w:szCs w:val="22"/>
          <w:lang w:eastAsia="en-US"/>
        </w:rPr>
      </w:r>
    </w:p>
    <w:p>
      <w:pPr>
        <w:pStyle w:val="Normal"/>
        <w:spacing w:lineRule="atLeast" w:line="100"/>
        <w:jc w:val="both"/>
        <w:rPr>
          <w:rFonts w:eastAsia="Times New Roman" w:cs="Garamond"/>
          <w:iCs/>
          <w:sz w:val="22"/>
          <w:szCs w:val="22"/>
          <w:lang w:eastAsia="en-US"/>
        </w:rPr>
      </w:pPr>
      <w:r>
        <w:rPr>
          <w:rFonts w:eastAsia="Times New Roman" w:cs="Garamond"/>
          <w:iCs/>
          <w:sz w:val="22"/>
          <w:szCs w:val="22"/>
          <w:lang w:eastAsia="en-US"/>
        </w:rPr>
        <w:t>Quali agevolazioni indicare?</w:t>
      </w:r>
    </w:p>
    <w:p>
      <w:pPr>
        <w:pStyle w:val="Normal"/>
        <w:spacing w:lineRule="atLeast" w:line="10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 xml:space="preserve">Devono essere riportate tutte le agevolazioni ottenute in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ai sensi di qualsiasi regolamento europeo relativo a tale tipologia di aiuti, specificando, per ogni aiuto, a quale regolamento faccia riferimento (agricoltura, pesca, SIEG o “generale”).</w:t>
      </w:r>
    </w:p>
    <w:p>
      <w:pPr>
        <w:pStyle w:val="Normal"/>
        <w:spacing w:lineRule="atLeast" w:line="100" w:before="0" w:after="120"/>
        <w:jc w:val="both"/>
        <w:rPr>
          <w:rFonts w:eastAsia="Times New Roman" w:cs="Garamond"/>
          <w:i w:val="false"/>
          <w:i w:val="false"/>
          <w:sz w:val="22"/>
          <w:szCs w:val="22"/>
          <w:highlight w:val="green"/>
          <w:lang w:eastAsia="en-US"/>
        </w:rPr>
      </w:pPr>
      <w:r>
        <w:rPr>
          <w:rFonts w:eastAsia="Times New Roman" w:cs="Garamond"/>
          <w:i w:val="false"/>
          <w:sz w:val="22"/>
          <w:szCs w:val="22"/>
          <w:lang w:eastAsia="en-US"/>
        </w:rPr>
        <w:t>Nel caso di aiuti concessi in forma diversa dalla sovvenzione (ad esempio, come prestito agevolato o come garanzia), dovrà essere indicato l’importo dell’equivalente sovvenzione, come risulta dall’atto di concessione di ciascun aiuto.</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 xml:space="preserve">In relazione a ciascun aiuto deve essere rispettato il massimale triennale stabilito dal regolamento di riferimento e nell’avviso. </w:t>
      </w:r>
    </w:p>
    <w:p>
      <w:pPr>
        <w:pStyle w:val="Normal"/>
        <w:spacing w:lineRule="atLeast" w:line="100" w:before="0" w:after="120"/>
        <w:jc w:val="both"/>
        <w:rPr>
          <w:rFonts w:eastAsia="Times New Roman" w:cs="Garamond"/>
          <w:i w:val="false"/>
          <w:i w:val="false"/>
          <w:sz w:val="22"/>
          <w:szCs w:val="22"/>
          <w:highlight w:val="yellow"/>
          <w:lang w:eastAsia="en-US"/>
        </w:rPr>
      </w:pPr>
      <w:r>
        <w:rPr>
          <w:rFonts w:eastAsia="Times New Roman" w:cs="Garamond"/>
          <w:i w:val="false"/>
          <w:sz w:val="22"/>
          <w:szCs w:val="22"/>
          <w:lang w:eastAsia="en-US"/>
        </w:rPr>
        <w:t xml:space="preserve">Un’impresa può essere beneficiaria di aiuti ai sensi di più regolamenti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a ciascuno di tali aiuti si applicherà il massimale pertinente, con l’avvertenza che l’importo totale degli aiuti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ottenuti in ciascun triennio di riferimento non potrà comunque superare il tetto massimo più elevato tra quelli cui si fa riferimento. </w:t>
      </w:r>
    </w:p>
    <w:p>
      <w:pPr>
        <w:pStyle w:val="Normal"/>
        <w:spacing w:lineRule="atLeast" w:line="100" w:before="0" w:after="120"/>
        <w:jc w:val="both"/>
        <w:rPr>
          <w:rFonts w:eastAsia="Times New Roman" w:cs="Garamond"/>
          <w:i w:val="false"/>
          <w:i w:val="false"/>
          <w:sz w:val="22"/>
          <w:szCs w:val="22"/>
          <w:lang w:eastAsia="en-US"/>
        </w:rPr>
      </w:pPr>
      <w:r>
        <w:rPr>
          <w:rFonts w:eastAsia="Times New Roman" w:cs="Garamond"/>
          <w:i w:val="false"/>
          <w:sz w:val="22"/>
          <w:szCs w:val="22"/>
          <w:lang w:eastAsia="en-US"/>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pPr>
        <w:pStyle w:val="Normal"/>
        <w:spacing w:before="200" w:after="200"/>
        <w:jc w:val="both"/>
        <w:rPr>
          <w:rFonts w:eastAsia="Times New Roman" w:cs="Garamond"/>
          <w:i w:val="false"/>
          <w:i w:val="false"/>
          <w:sz w:val="22"/>
          <w:szCs w:val="22"/>
          <w:lang w:eastAsia="en-US"/>
        </w:rPr>
      </w:pPr>
      <w:r>
        <w:rPr>
          <w:rFonts w:eastAsia="Times New Roman" w:cs="Garamond"/>
          <w:i w:val="false"/>
          <w:sz w:val="22"/>
          <w:szCs w:val="22"/>
          <w:lang w:eastAsia="en-US"/>
        </w:rPr>
        <w:t>Si fa presente che ai sensi dell’art. 3 par.7 del Reg. (UE) 1408/13, qualora la concessione di nuovi aiuti «de minimis» comporti il superamento dei massimali pertinenti, nessuna delle nuove misure di aiuto può beneficiare del presente regolamento.</w:t>
      </w:r>
    </w:p>
    <w:p>
      <w:pPr>
        <w:pStyle w:val="Normal"/>
        <w:spacing w:before="200" w:after="20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jc w:val="both"/>
        <w:rPr>
          <w:rFonts w:eastAsia="Times New Roman" w:cs="Garamond"/>
          <w:iCs/>
          <w:sz w:val="22"/>
          <w:szCs w:val="22"/>
          <w:lang w:eastAsia="en-US"/>
        </w:rPr>
      </w:pPr>
      <w:r>
        <w:rPr>
          <w:rFonts w:eastAsia="Times New Roman" w:cs="Garamond"/>
          <w:iCs/>
          <w:sz w:val="22"/>
          <w:szCs w:val="22"/>
          <w:lang w:eastAsia="en-US"/>
        </w:rPr>
        <w:t>Periodo di riferimento:</w:t>
      </w:r>
    </w:p>
    <w:p>
      <w:pPr>
        <w:pStyle w:val="Normal"/>
        <w:spacing w:lineRule="atLeast" w:line="100"/>
        <w:jc w:val="both"/>
        <w:rPr>
          <w:rFonts w:eastAsia="Times New Roman" w:cs="Garamond"/>
          <w:i w:val="false"/>
          <w:i w:val="false"/>
          <w:sz w:val="22"/>
          <w:szCs w:val="22"/>
          <w:lang w:eastAsia="en-US"/>
        </w:rPr>
      </w:pPr>
      <w:r>
        <w:rPr>
          <w:rFonts w:eastAsia="Times New Roman" w:cs="Garamond"/>
          <w:i w:val="false"/>
          <w:sz w:val="22"/>
          <w:szCs w:val="22"/>
          <w:lang w:eastAsia="en-US"/>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pPr>
        <w:pStyle w:val="Normal"/>
        <w:spacing w:lineRule="atLeast" w:line="100"/>
        <w:jc w:val="both"/>
        <w:rPr>
          <w:rFonts w:eastAsia="Times New Roman" w:cs="Garamond"/>
          <w:b/>
          <w:b/>
          <w:bCs/>
          <w:i w:val="false"/>
          <w:i w:val="false"/>
          <w:sz w:val="22"/>
          <w:szCs w:val="22"/>
          <w:lang w:eastAsia="en-US"/>
        </w:rPr>
      </w:pPr>
      <w:r>
        <w:rPr>
          <w:rFonts w:eastAsia="Times New Roman" w:cs="Garamond"/>
          <w:b/>
          <w:bCs/>
          <w:i w:val="false"/>
          <w:sz w:val="22"/>
          <w:szCs w:val="22"/>
          <w:lang w:eastAsia="en-US"/>
        </w:rPr>
      </w:r>
    </w:p>
    <w:p>
      <w:pPr>
        <w:pStyle w:val="Normal"/>
        <w:spacing w:lineRule="atLeast" w:line="100"/>
        <w:jc w:val="both"/>
        <w:rPr>
          <w:rFonts w:eastAsia="Times New Roman" w:cs="Garamond"/>
          <w:iCs/>
          <w:sz w:val="22"/>
          <w:szCs w:val="22"/>
          <w:lang w:eastAsia="en-US"/>
        </w:rPr>
      </w:pPr>
      <w:r>
        <w:rPr>
          <w:rFonts w:eastAsia="Times New Roman" w:cs="Garamond"/>
          <w:iCs/>
          <w:sz w:val="22"/>
          <w:szCs w:val="22"/>
          <w:lang w:eastAsia="en-US"/>
        </w:rPr>
        <w:t>Il caso specifico delle fusioni, acquisizioni e trasferimenti di rami d’azienda</w:t>
      </w:r>
    </w:p>
    <w:p>
      <w:pPr>
        <w:pStyle w:val="Normal"/>
        <w:spacing w:lineRule="atLeast" w:line="10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Nel caso specifico in cui l’impresa richiedente sia incorsa in vicende di fusioni o acquisizioni (art.3 par. 8 del Reg 1408/2013/UE) tutti gli aiuti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accordati alle imprese oggetto dell’operazione devono essere sommati. </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In questo caso la tabella andrà compilata inserendo anche il </w:t>
      </w:r>
      <w:r>
        <w:rPr>
          <w:rFonts w:eastAsia="Times New Roman" w:cs="Garamond"/>
          <w:sz w:val="22"/>
          <w:szCs w:val="22"/>
          <w:lang w:eastAsia="en-US"/>
        </w:rPr>
        <w:t>‘</w:t>
      </w:r>
      <w:r>
        <w:rPr>
          <w:rFonts w:eastAsia="Times New Roman" w:cs="Garamond"/>
          <w:iCs/>
          <w:sz w:val="22"/>
          <w:szCs w:val="22"/>
          <w:lang w:eastAsia="en-US"/>
        </w:rPr>
        <w:t>de minimis’</w:t>
      </w:r>
      <w:r>
        <w:rPr>
          <w:rFonts w:eastAsia="Times New Roman" w:cs="Garamond"/>
          <w:i w:val="false"/>
          <w:sz w:val="22"/>
          <w:szCs w:val="22"/>
          <w:lang w:eastAsia="en-US"/>
        </w:rPr>
        <w:t xml:space="preserve"> ottenuto dall’impresa/dalle imprese oggetto acquisizione o fusione.</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Ad esempio:</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All’impresa A sono stati concessi 4.000 € in ‘de minimis’ nell’anno 2010</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All’impresa B sono stati concessi 2.000 € in ‘de minimis’ nell’anno 2010</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Nell’anno 2011 l’impresa A si fonde con l’impresa B e diventa un nuovo soggetto (A+B)</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Nell’anno 2011 il soggetto (A+B) vuole fare domanda per un nuovo ‘de minimis’ di 7.000 €. L’impresa (A+B) dovrà dichiarare gli aiuti ricevuti anche dalle imprese A e B, che ammonteranno ad un totale di 6.000 €</w:t>
      </w:r>
    </w:p>
    <w:p>
      <w:pPr>
        <w:pStyle w:val="Normal"/>
        <w:pBdr>
          <w:top w:val="single" w:sz="4" w:space="1" w:color="000000"/>
          <w:left w:val="single" w:sz="4" w:space="4" w:color="000000"/>
          <w:bottom w:val="single" w:sz="4" w:space="1" w:color="000000"/>
          <w:right w:val="single" w:sz="4" w:space="4" w:color="000000"/>
        </w:pBdr>
        <w:spacing w:lineRule="atLeast" w:line="100" w:before="0" w:after="120"/>
        <w:ind w:right="142" w:hanging="0"/>
        <w:jc w:val="both"/>
        <w:rPr>
          <w:rFonts w:eastAsia="Times New Roman" w:cs="Garamond"/>
          <w:i w:val="false"/>
          <w:i w:val="false"/>
          <w:sz w:val="20"/>
          <w:szCs w:val="20"/>
          <w:lang w:eastAsia="en-US"/>
        </w:rPr>
      </w:pPr>
      <w:r>
        <w:rPr>
          <w:rFonts w:eastAsia="Times New Roman" w:cs="Garamond"/>
          <w:i w:val="false"/>
          <w:sz w:val="20"/>
          <w:szCs w:val="20"/>
          <w:lang w:eastAsia="en-US"/>
        </w:rPr>
        <w:t>Qualora l’impresa (A+B) voglia ottenere un nuovo ‘de minimis’ nel 2012, dovrà dichiarare che gli sono stati concessi nell’anno in corso e nei due precedenti aiuti ‘de minimis’ pari a 13.000 €</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Nel caso specifico in cui l’impresa richiedente origini da operazioni di scissione (art.3 par.9 del reg 1408/2013/UE) di un’impresa in due o più imprese distinte, si segnala che l’importo degli aiuti </w:t>
      </w:r>
      <w:r>
        <w:rPr>
          <w:rFonts w:eastAsia="Times New Roman" w:cs="Garamond"/>
          <w:sz w:val="22"/>
          <w:szCs w:val="22"/>
          <w:lang w:eastAsia="en-US"/>
        </w:rPr>
        <w:t>‘</w:t>
      </w:r>
      <w:r>
        <w:rPr>
          <w:rFonts w:eastAsia="Times New Roman" w:cs="Garamond"/>
          <w:iCs/>
          <w:sz w:val="22"/>
          <w:szCs w:val="22"/>
          <w:lang w:eastAsia="en-US"/>
        </w:rPr>
        <w:t xml:space="preserve">de minimis’ </w:t>
      </w:r>
      <w:r>
        <w:rPr>
          <w:rFonts w:eastAsia="Times New Roman" w:cs="Garamond"/>
          <w:i w:val="false"/>
          <w:sz w:val="22"/>
          <w:szCs w:val="22"/>
          <w:lang w:eastAsia="en-US"/>
        </w:rPr>
        <w:t xml:space="preserve">ottenuti dall’impresa originaria deve essere attribuito all’impresa che acquisirà le attività che hanno beneficiato degli aiuti o, se ciò non è possibile, deve essere suddiviso proporzionalmente al valore delle nuove imprese in termini di capitale investito. </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Valutazioni caso per caso dovranno essere effettuate per la fattispecie di un trasferimento di un ramo d’azienda che, configurato come operazione di acquisizione, determina il trasferimento del de minimis in capo all’impresa che ha effettuato l’acquisizione, se l’aiuto </w:t>
      </w:r>
      <w:r>
        <w:rPr>
          <w:rFonts w:eastAsia="Times New Roman" w:cs="Garamond"/>
          <w:sz w:val="22"/>
          <w:szCs w:val="22"/>
          <w:lang w:eastAsia="en-US"/>
        </w:rPr>
        <w:t>‘de minimis’</w:t>
      </w:r>
      <w:r>
        <w:rPr>
          <w:rFonts w:eastAsia="Times New Roman" w:cs="Garamond"/>
          <w:i w:val="false"/>
          <w:sz w:val="22"/>
          <w:szCs w:val="22"/>
          <w:lang w:eastAsia="en-US"/>
        </w:rPr>
        <w:t xml:space="preserve"> era imputato al ramo d’azienda trasferito. Viceversa, nel caso in cui un trasferimento di ramo d’azienda si configuri come una operazione di cessione, l’impresa che ha ceduto il ramo può dedurre dall’importo dichiarato l’aiuto </w:t>
      </w:r>
      <w:r>
        <w:rPr>
          <w:rFonts w:eastAsia="Times New Roman" w:cs="Garamond"/>
          <w:sz w:val="22"/>
          <w:szCs w:val="22"/>
          <w:lang w:eastAsia="en-US"/>
        </w:rPr>
        <w:t>‘de minimis’</w:t>
      </w:r>
      <w:r>
        <w:rPr>
          <w:rFonts w:eastAsia="Times New Roman" w:cs="Garamond"/>
          <w:i w:val="false"/>
          <w:sz w:val="22"/>
          <w:szCs w:val="22"/>
          <w:lang w:eastAsia="en-US"/>
        </w:rPr>
        <w:t xml:space="preserve"> imputato al ramo ceduto.</w:t>
      </w:r>
    </w:p>
    <w:p>
      <w:pPr>
        <w:pStyle w:val="Normal"/>
        <w:spacing w:lineRule="atLeast" w:line="100"/>
        <w:ind w:right="141" w:hanging="0"/>
        <w:jc w:val="both"/>
        <w:rPr>
          <w:rFonts w:eastAsia="Times New Roman" w:cs="Garamond"/>
          <w:strike/>
          <w:sz w:val="22"/>
          <w:szCs w:val="22"/>
          <w:lang w:eastAsia="en-US"/>
        </w:rPr>
      </w:pPr>
      <w:r>
        <w:rPr>
          <w:rFonts w:eastAsia="Times New Roman" w:cs="Garamond"/>
          <w:sz w:val="22"/>
          <w:szCs w:val="22"/>
          <w:lang w:eastAsia="en-US"/>
        </w:rPr>
        <w:t>La seguente parte di istruzioni per la compilazione fornisce indicazioni utili per fornire istruzioni ai partecipanti relativamente alle seguenti sezioni (C, D ed E) nel modulo. Tali sezioni potranno variare sulla base della tipologia e delle scelte a monte contenute negli atti amministrativi (es. che tipo di deminimis applicare incide sul campo di applicazione, prevedere o escludere il cumulo incide sulla sezione relativa, la presenza o meno di tipologia di aiuti quali prestiti / garanzie incide sulla presenza o meno della relativa sezione)</w:t>
      </w:r>
    </w:p>
    <w:p>
      <w:pPr>
        <w:pStyle w:val="Normal"/>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 </w:t>
      </w:r>
    </w:p>
    <w:p>
      <w:pPr>
        <w:pStyle w:val="Normal"/>
        <w:jc w:val="both"/>
        <w:rPr>
          <w:rFonts w:cs="Calibri"/>
          <w:b/>
          <w:b/>
          <w:bCs/>
          <w:i w:val="false"/>
          <w:i w:val="false"/>
          <w:sz w:val="22"/>
          <w:szCs w:val="22"/>
          <w:lang w:eastAsia="en-US"/>
        </w:rPr>
      </w:pPr>
      <w:r>
        <w:rPr>
          <w:rFonts w:cs="Calibri"/>
          <w:b/>
          <w:bCs/>
          <w:i w:val="false"/>
          <w:sz w:val="22"/>
          <w:szCs w:val="22"/>
          <w:lang w:eastAsia="en-US"/>
        </w:rPr>
        <w:t>Sezione C: Campo di applicazione</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Il regolamento 1408/2013/UE, così come specificato all’articolo 1, si applica agli aiuti concessi alle imprese che operano nel settore della produzione primaria dei prodotti agricoli di cui all’allegato I del Trattato sul funzionamento dell’Unione Europea.</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Tuttavia lo stesso articolo riporta alcune eccezioni, ovvero che non possono essere comunque concessi de minimis per:</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a) aiuti il cui importo è fissato in base al prezzo o al quantitativo dei prodotti commercializzati;</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b) aiuti per attività connesse all’esportazione verso paesi terzi o Stati membri, cioè aiuti direttamente collegati ai quantitativi esportati, alla costituzione e gestione di una rete di distribuzione o ad altre spese correnti connesse con l’attività d’esportazione;</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c) aiuti subordinati all’impiego di prodotti nazionali rispetto a quelli d’importazione.</w:t>
      </w:r>
    </w:p>
    <w:p>
      <w:pPr>
        <w:pStyle w:val="Normal"/>
        <w:spacing w:lineRule="atLeast" w:line="100" w:before="0" w:after="120"/>
        <w:ind w:right="142" w:hanging="0"/>
        <w:jc w:val="both"/>
        <w:rPr>
          <w:rFonts w:eastAsia="Times New Roman" w:cs="Garamond"/>
          <w:i w:val="false"/>
          <w:i w:val="false"/>
          <w:sz w:val="22"/>
          <w:szCs w:val="22"/>
          <w:lang w:eastAsia="en-US"/>
        </w:rPr>
      </w:pPr>
      <w:r>
        <w:rPr>
          <w:rFonts w:eastAsia="Times New Roman" w:cs="Garamond"/>
          <w:i w:val="false"/>
          <w:sz w:val="22"/>
          <w:szCs w:val="22"/>
          <w:lang w:eastAsia="en-US"/>
        </w:rPr>
        <w:t>Si precisa che se un’impresa opera in più settori rientranti nel campo di applicazione di regolamenti de minimis diversi (ad es. n. 1407/2013, c.d. regolamento de minimis generale con massimale 200.000 € o n. 717/2014 regolamento de minimsi pesca con massimale 30.000 €) si devono distinguere le attività e/o i costi e dichiarare per quali di questi si richiede l’agevolazione in de minimis come specificato ai par. 2 e 3 dell’art. 1 del reg. (UE) 1408/2013</w:t>
      </w:r>
      <w:r>
        <w:rPr>
          <w:rStyle w:val="Richiamoallanotaapidipagina"/>
          <w:rFonts w:eastAsia="Times New Roman" w:cs="Times New Roman"/>
          <w:i w:val="false"/>
          <w:sz w:val="22"/>
          <w:szCs w:val="22"/>
          <w:vertAlign w:val="superscript"/>
          <w:lang w:eastAsia="en-US"/>
        </w:rPr>
        <w:footnoteReference w:id="3"/>
      </w:r>
    </w:p>
    <w:p>
      <w:pPr>
        <w:pStyle w:val="Normal"/>
        <w:jc w:val="both"/>
        <w:rPr>
          <w:rFonts w:cs="Calibri"/>
          <w:b/>
          <w:b/>
          <w:bCs/>
          <w:i w:val="false"/>
          <w:i w:val="false"/>
          <w:sz w:val="22"/>
          <w:szCs w:val="22"/>
          <w:lang w:eastAsia="en-US"/>
        </w:rPr>
      </w:pPr>
      <w:r>
        <w:rPr>
          <w:rFonts w:cs="Calibri"/>
          <w:b/>
          <w:bCs/>
          <w:i w:val="false"/>
          <w:sz w:val="22"/>
          <w:szCs w:val="22"/>
          <w:lang w:eastAsia="en-US"/>
        </w:rPr>
        <w:t>Sezione D: Condizioni per il cumulo</w:t>
      </w:r>
    </w:p>
    <w:p>
      <w:pPr>
        <w:pStyle w:val="Normal"/>
        <w:spacing w:lineRule="atLeast" w:line="100" w:before="0" w:after="16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before="0" w:after="16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Se l’Avviso/Bando consente il cumulo degli aiuti </w:t>
      </w:r>
      <w:r>
        <w:rPr>
          <w:rFonts w:eastAsia="Times New Roman" w:cs="Garamond"/>
          <w:sz w:val="22"/>
          <w:szCs w:val="22"/>
          <w:lang w:eastAsia="en-US"/>
        </w:rPr>
        <w:t xml:space="preserve">‘de minimis’ </w:t>
      </w:r>
      <w:r>
        <w:rPr>
          <w:rFonts w:eastAsia="Times New Roman" w:cs="Garamond"/>
          <w:i w:val="false"/>
          <w:sz w:val="22"/>
          <w:szCs w:val="22"/>
          <w:lang w:eastAsia="en-US"/>
        </w:rPr>
        <w:t xml:space="preserve">con altri aiuti di Stato e gli aiuti </w:t>
      </w:r>
      <w:r>
        <w:rPr>
          <w:rFonts w:eastAsia="Times New Roman" w:cs="Garamond"/>
          <w:sz w:val="22"/>
          <w:szCs w:val="22"/>
          <w:lang w:eastAsia="en-US"/>
        </w:rPr>
        <w:t xml:space="preserve">‘de minimis’ </w:t>
      </w:r>
      <w:r>
        <w:rPr>
          <w:rFonts w:eastAsia="Times New Roman" w:cs="Garamond"/>
          <w:i w:val="false"/>
          <w:sz w:val="22"/>
          <w:szCs w:val="22"/>
          <w:lang w:eastAsia="en-US"/>
        </w:rPr>
        <w:t xml:space="preserve">sono concessi per specifici costi ammissibili, questi possono essere cumulati: </w:t>
      </w:r>
    </w:p>
    <w:p>
      <w:pPr>
        <w:pStyle w:val="Normal"/>
        <w:numPr>
          <w:ilvl w:val="0"/>
          <w:numId w:val="1"/>
        </w:numPr>
        <w:spacing w:lineRule="exact" w:line="300" w:before="0" w:after="160"/>
        <w:jc w:val="both"/>
        <w:rPr>
          <w:rFonts w:eastAsia="Times New Roman" w:cs="Garamond"/>
          <w:i w:val="false"/>
          <w:i w:val="false"/>
          <w:sz w:val="22"/>
          <w:szCs w:val="22"/>
          <w:lang w:eastAsia="en-US"/>
        </w:rPr>
      </w:pPr>
      <w:r>
        <w:rPr>
          <w:rFonts w:eastAsia="Times New Roman" w:cs="Garamond"/>
          <w:i w:val="false"/>
          <w:sz w:val="22"/>
          <w:szCs w:val="22"/>
          <w:lang w:eastAsia="en-US"/>
        </w:rPr>
        <w:t>con altri aiuti «de minimis» concessi a norma del regolamento (UE) n. 1407/2013 (regolamento de minimis generale con massimale 200.000 €, o del regolamento (UE) n. 717/2014 (regolamento della pesca con massimale 30.000 €)  a concorrenza del massimale previsti in tali regolamenti. Essi possono essere cumulati con aiuti «de minimis» concessi a norma di altri regolamenti «de minimis» a condizione che non superino il massimale pertinente.</w:t>
      </w:r>
    </w:p>
    <w:p>
      <w:pPr>
        <w:pStyle w:val="Normal"/>
        <w:numPr>
          <w:ilvl w:val="0"/>
          <w:numId w:val="1"/>
        </w:numPr>
        <w:spacing w:lineRule="exact" w:line="300" w:before="0" w:after="160"/>
        <w:jc w:val="both"/>
        <w:rPr>
          <w:rFonts w:eastAsia="MS PGothic" w:cs="Times New Roman"/>
          <w:i w:val="false"/>
          <w:i w:val="false"/>
          <w:iCs/>
          <w:kern w:val="2"/>
          <w:sz w:val="22"/>
          <w:szCs w:val="22"/>
          <w:lang w:eastAsia="en-US"/>
        </w:rPr>
      </w:pPr>
      <w:r>
        <w:rPr>
          <w:rFonts w:eastAsia="Times New Roman" w:cs="Garamond"/>
          <w:i w:val="false"/>
          <w:sz w:val="22"/>
          <w:szCs w:val="22"/>
          <w:lang w:eastAsia="en-US"/>
        </w:rPr>
        <w:t xml:space="preserve">con </w:t>
      </w:r>
      <w:r>
        <w:rPr>
          <w:rFonts w:eastAsia="MS PGothic" w:cs="Times New Roman"/>
          <w:i w:val="false"/>
          <w:iCs/>
          <w:kern w:val="2"/>
          <w:sz w:val="22"/>
          <w:szCs w:val="22"/>
          <w:lang w:eastAsia="en-US"/>
        </w:rPr>
        <w:t xml:space="preserve">aiuti di Stato (regimi di aiuto notificati o esentati ai sensi del pertinente regolamento) concessi per gli stessi costi ammissibili se tale cumulo non comporta il superamento dell’intensità, ovvero la percentuale, di aiuto o dell’importo di aiuto più elevati fissati, per le specifiche circostanze di ogni caso, in un regolamento d’esenzione per categoria o in una decisione adottata dalla Commissione. </w:t>
      </w:r>
    </w:p>
    <w:p>
      <w:pPr>
        <w:pStyle w:val="Normal"/>
        <w:jc w:val="both"/>
        <w:rPr>
          <w:rFonts w:eastAsia="Times New Roman" w:cs="Garamond"/>
          <w:i w:val="false"/>
          <w:i w:val="false"/>
          <w:sz w:val="22"/>
          <w:szCs w:val="22"/>
          <w:lang w:eastAsia="en-US"/>
        </w:rPr>
      </w:pPr>
      <w:r>
        <w:rPr>
          <w:rFonts w:eastAsia="Times New Roman" w:cs="Garamond"/>
          <w:i w:val="false"/>
          <w:sz w:val="22"/>
          <w:szCs w:val="22"/>
          <w:lang w:eastAsia="en-US"/>
        </w:rPr>
        <w:t>Diversamente il bando può disporre la non cumulabilità delle agevolazioni con contributi concessi da regimi di aiuto per gli stessi costi ammissibili.</w:t>
      </w:r>
    </w:p>
    <w:p>
      <w:pPr>
        <w:pStyle w:val="Normal"/>
        <w:spacing w:lineRule="atLeast" w:line="100" w:before="0" w:after="16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pPr>
        <w:pStyle w:val="Normal"/>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Nella tabella dovrà pertanto essere indicata l’intensità relativa al progetto e l’importo imputato alla voce di costo o all’intero progetto in valore assoluto. </w:t>
      </w:r>
    </w:p>
    <w:p>
      <w:pPr>
        <w:pStyle w:val="Normal"/>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Esempio: un’impresa operante nel settore della produzione primaria ha ricevuto un finanziamento in esenzione per investimenti ai sensi del regolamento (UE) 702/2014 art. 14. L’intensità massima, ovvero la percentuale di sostegno, per quel finanziamento viene stabilita dal bando al 40%. Si presenta il caso in cui il valore dell’investimento è pari a 20.000€ e il valore della concessione è pari al 8.000€ però gli viene erogato solo il 50% (4000 €) Nella tabella l’impresa dovrà dichiarare questi ultimi due importi (ovvero concessione 8000 € e erogazione 4000 €). Per la stessa voce di costo l’impresa potrà ottenere un finanziamento in ‘de minimis’ pari ad altri 4000€, ovvero solo fino al raggiungimento dell’intensità prevista dal regime di aiuto per quella stessa spesa.</w:t>
      </w:r>
    </w:p>
    <w:p>
      <w:pPr>
        <w:pStyle w:val="Normal"/>
        <w:spacing w:lineRule="atLeast" w:line="100"/>
        <w:ind w:right="141" w:hanging="0"/>
        <w:jc w:val="both"/>
        <w:rPr>
          <w:rFonts w:eastAsia="Times New Roman" w:cs="Garamond"/>
          <w:b/>
          <w:b/>
          <w:strike/>
          <w:sz w:val="22"/>
          <w:szCs w:val="22"/>
          <w:lang w:eastAsia="en-US"/>
        </w:rPr>
      </w:pPr>
      <w:r>
        <w:rPr>
          <w:rFonts w:eastAsia="Times New Roman" w:cs="Garamond"/>
          <w:b/>
          <w:strike/>
          <w:sz w:val="22"/>
          <w:szCs w:val="22"/>
          <w:lang w:eastAsia="en-US"/>
        </w:rPr>
      </w:r>
    </w:p>
    <w:p>
      <w:pPr>
        <w:pStyle w:val="Normal"/>
        <w:jc w:val="both"/>
        <w:rPr>
          <w:rFonts w:cs="Calibri"/>
          <w:b/>
          <w:b/>
          <w:bCs/>
          <w:i w:val="false"/>
          <w:i w:val="false"/>
          <w:sz w:val="22"/>
          <w:szCs w:val="22"/>
          <w:lang w:eastAsia="en-US"/>
        </w:rPr>
      </w:pPr>
      <w:r>
        <w:rPr>
          <w:rFonts w:cs="Calibri"/>
          <w:b/>
          <w:bCs/>
          <w:i w:val="false"/>
          <w:sz w:val="22"/>
          <w:szCs w:val="22"/>
          <w:lang w:eastAsia="en-US"/>
        </w:rPr>
        <w:t>Sezione E: Condizioni per aiuti sotto forma di «prestiti» e «garanzie»</w:t>
      </w:r>
    </w:p>
    <w:p>
      <w:pPr>
        <w:pStyle w:val="Normal"/>
        <w:shd w:val="clear" w:color="auto" w:fill="FFFFFF"/>
        <w:spacing w:lineRule="atLeast" w:line="100"/>
        <w:ind w:right="141" w:firstLine="708"/>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hd w:val="clear" w:color="auto" w:fill="FFFFFF"/>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La sezione E deve essere compilata soltanto nel caso in cui l’aiuto </w:t>
      </w:r>
      <w:r>
        <w:rPr>
          <w:rFonts w:eastAsia="Times New Roman" w:cs="Garamond"/>
          <w:sz w:val="22"/>
          <w:szCs w:val="22"/>
          <w:lang w:eastAsia="en-US"/>
        </w:rPr>
        <w:t>‘de minimis’</w:t>
      </w:r>
      <w:r>
        <w:rPr>
          <w:rFonts w:eastAsia="Times New Roman" w:cs="Garamond"/>
          <w:i w:val="false"/>
          <w:sz w:val="22"/>
          <w:szCs w:val="22"/>
          <w:lang w:eastAsia="en-US"/>
        </w:rPr>
        <w:t xml:space="preserve"> sia concesso, sulla base di quanto previsto dal Bando/Avviso, sotto forma di “prestiti” o “garanzia”.</w:t>
      </w:r>
    </w:p>
    <w:p>
      <w:pPr>
        <w:pStyle w:val="Normal"/>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t xml:space="preserve">Qualora l’aiuto </w:t>
      </w:r>
      <w:r>
        <w:rPr>
          <w:rFonts w:eastAsia="Times New Roman" w:cs="Garamond"/>
          <w:sz w:val="22"/>
          <w:szCs w:val="22"/>
          <w:lang w:eastAsia="en-US"/>
        </w:rPr>
        <w:t>‘de minimis’</w:t>
      </w:r>
      <w:r>
        <w:rPr>
          <w:rFonts w:eastAsia="Times New Roman" w:cs="Garamond"/>
          <w:i w:val="false"/>
          <w:sz w:val="22"/>
          <w:szCs w:val="22"/>
          <w:lang w:eastAsia="en-US"/>
        </w:rPr>
        <w:t xml:space="preserve">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pPr>
        <w:pStyle w:val="Normal"/>
        <w:spacing w:lineRule="atLeast" w:line="100"/>
        <w:ind w:right="141" w:hanging="0"/>
        <w:jc w:val="both"/>
        <w:rPr>
          <w:rFonts w:eastAsia="Times New Roman" w:cs="Garamond"/>
          <w:i w:val="false"/>
          <w:i w:val="false"/>
          <w:sz w:val="22"/>
          <w:szCs w:val="22"/>
          <w:lang w:eastAsia="en-US"/>
        </w:rPr>
      </w:pPr>
      <w:r>
        <w:rPr>
          <w:rFonts w:eastAsia="Times New Roman" w:cs="Garamond"/>
          <w:i w:val="false"/>
          <w:sz w:val="22"/>
          <w:szCs w:val="22"/>
          <w:lang w:eastAsia="en-US"/>
        </w:rPr>
      </w:r>
    </w:p>
    <w:p>
      <w:pPr>
        <w:pStyle w:val="Normal"/>
        <w:spacing w:lineRule="atLeast" w:line="100"/>
        <w:ind w:right="141" w:hanging="0"/>
        <w:jc w:val="both"/>
        <w:rPr>
          <w:rFonts w:cs="Times New Roman"/>
          <w:i w:val="false"/>
          <w:i w:val="false"/>
          <w:sz w:val="22"/>
          <w:szCs w:val="22"/>
          <w:lang w:eastAsia="en-US"/>
        </w:rPr>
      </w:pPr>
      <w:r>
        <w:rPr>
          <w:rFonts w:eastAsia="Times New Roman" w:cs="Garamond"/>
          <w:i w:val="false"/>
          <w:sz w:val="22"/>
          <w:szCs w:val="22"/>
          <w:lang w:eastAsia="en-US"/>
        </w:rPr>
        <w:t>Per la definizione di PMI si rimanda alla raccomandazione della Commissione europea n. 2003/361/CE, anche se, per quanto riguarda il settore agricolo, il riferimento più aggiornato è quello previsto in allegato I del Regolamento (UE) 702/2014</w:t>
      </w:r>
      <w:r>
        <w:rPr>
          <w:rFonts w:eastAsia="Times New Roman" w:cs="Garamond"/>
          <w:i w:val="false"/>
          <w:strike/>
          <w:sz w:val="22"/>
          <w:szCs w:val="22"/>
          <w:lang w:eastAsia="en-US"/>
        </w:rPr>
        <w:t>.</w:t>
      </w:r>
      <w:r>
        <w:rPr>
          <w:rFonts w:eastAsia="Times New Roman" w:cs="Garamond"/>
          <w:i w:val="false"/>
          <w:sz w:val="22"/>
          <w:szCs w:val="22"/>
          <w:lang w:eastAsia="en-US"/>
        </w:rPr>
        <w:t xml:space="preserve"> </w:t>
      </w:r>
    </w:p>
    <w:p>
      <w:pPr>
        <w:pStyle w:val="Normal"/>
        <w:tabs>
          <w:tab w:val="left" w:pos="3756" w:leader="none"/>
        </w:tabs>
        <w:spacing w:lineRule="auto" w:line="259" w:before="0" w:after="160"/>
        <w:jc w:val="both"/>
        <w:rPr>
          <w:rFonts w:cs="Times New Roman"/>
          <w:i w:val="false"/>
          <w:i w:val="false"/>
          <w:sz w:val="22"/>
          <w:szCs w:val="22"/>
          <w:lang w:eastAsia="en-US"/>
        </w:rPr>
      </w:pPr>
      <w:r>
        <w:rPr>
          <w:rFonts w:cs="Times New Roman"/>
          <w:i w:val="false"/>
          <w:sz w:val="22"/>
          <w:szCs w:val="22"/>
          <w:lang w:eastAsia="en-US"/>
        </w:rPr>
        <w:tab/>
      </w:r>
    </w:p>
    <w:p>
      <w:pPr>
        <w:pStyle w:val="Normal"/>
        <w:tabs>
          <w:tab w:val="left" w:pos="3756" w:leader="none"/>
        </w:tabs>
        <w:spacing w:lineRule="auto" w:line="259" w:before="0" w:after="160"/>
        <w:jc w:val="both"/>
        <w:rPr>
          <w:rFonts w:cs="Times New Roman"/>
          <w:i w:val="false"/>
          <w:i w:val="false"/>
          <w:sz w:val="22"/>
          <w:szCs w:val="22"/>
          <w:lang w:eastAsia="en-US"/>
        </w:rPr>
      </w:pPr>
      <w:r>
        <w:rPr>
          <w:rFonts w:cs="Times New Roman"/>
          <w:i w:val="false"/>
          <w:sz w:val="22"/>
          <w:szCs w:val="22"/>
          <w:lang w:eastAsia="en-US"/>
        </w:rPr>
        <w:t>NB: gli atti amministrativi, a scelta della Direzione proponente, in caso di deminimis potrebbero prevedere anche due tipologie di scelte facoltative (in quanto non espressamente previste nel Reg. UE 1408/13, ma comunque inseribili come criteri di selezione) di cui tenere conto in istruttoria ossia:</w:t>
      </w:r>
    </w:p>
    <w:p>
      <w:pPr>
        <w:pStyle w:val="Normal"/>
        <w:numPr>
          <w:ilvl w:val="0"/>
          <w:numId w:val="2"/>
        </w:numPr>
        <w:tabs>
          <w:tab w:val="left" w:pos="3756" w:leader="none"/>
        </w:tabs>
        <w:spacing w:lineRule="auto" w:line="259" w:before="0" w:after="200"/>
        <w:contextualSpacing/>
        <w:jc w:val="both"/>
        <w:rPr>
          <w:rFonts w:eastAsia="Times New Roman" w:cs="Garamond"/>
          <w:i w:val="false"/>
          <w:i w:val="false"/>
          <w:sz w:val="22"/>
          <w:szCs w:val="22"/>
          <w:lang w:eastAsia="en-US"/>
        </w:rPr>
      </w:pPr>
      <w:r>
        <w:rPr>
          <w:rFonts w:cs="Times New Roman"/>
          <w:i w:val="false"/>
          <w:sz w:val="22"/>
          <w:szCs w:val="22"/>
          <w:lang w:eastAsia="en-US"/>
        </w:rPr>
        <w:t xml:space="preserve">esclusione delle imprese in difficoltà o ai sensi del diritto fallimentare o ai sensi dell’art. 2 n. 14 del </w:t>
      </w:r>
      <w:r>
        <w:rPr>
          <w:rFonts w:eastAsia="Times New Roman" w:cs="Garamond"/>
          <w:i w:val="false"/>
          <w:sz w:val="22"/>
          <w:szCs w:val="22"/>
          <w:lang w:eastAsia="en-US"/>
        </w:rPr>
        <w:t>Regolamento (UE) 702/2014; ovvero ai sensi degli orientamenti per il salvataggio e la ristrutturazione delle imprese in difficoltà (2014/C 249/01)</w:t>
      </w:r>
    </w:p>
    <w:p>
      <w:pPr>
        <w:pStyle w:val="Normal"/>
        <w:numPr>
          <w:ilvl w:val="0"/>
          <w:numId w:val="2"/>
        </w:numPr>
        <w:tabs>
          <w:tab w:val="left" w:pos="3756" w:leader="none"/>
        </w:tabs>
        <w:spacing w:lineRule="auto" w:line="259" w:before="0" w:after="200"/>
        <w:contextualSpacing/>
        <w:jc w:val="both"/>
        <w:rPr>
          <w:rFonts w:cs="Times New Roman"/>
          <w:i w:val="false"/>
          <w:i w:val="false"/>
          <w:sz w:val="22"/>
          <w:szCs w:val="22"/>
          <w:lang w:eastAsia="en-US"/>
        </w:rPr>
      </w:pPr>
      <w:r>
        <w:rPr>
          <w:rFonts w:eastAsia="Times New Roman" w:cs="Garamond"/>
          <w:i w:val="false"/>
          <w:sz w:val="22"/>
          <w:szCs w:val="22"/>
          <w:lang w:eastAsia="en-US"/>
        </w:rPr>
        <w:t>esclusione delle imprese che abbiano ricevuto e non rimborsato o non accantonato in apposito conto aiuti illegali come statuito da specifiche decisioni della Commissione UE e per le quali è pendente un ordine di recupero in Italia.</w:t>
      </w:r>
    </w:p>
    <w:p>
      <w:pPr>
        <w:pStyle w:val="Normal"/>
        <w:tabs>
          <w:tab w:val="left" w:pos="3756" w:leader="none"/>
        </w:tabs>
        <w:spacing w:lineRule="auto" w:line="259" w:before="0" w:after="160"/>
        <w:jc w:val="both"/>
        <w:rPr>
          <w:rFonts w:cs="Times New Roman"/>
          <w:i w:val="false"/>
          <w:i w:val="false"/>
          <w:sz w:val="22"/>
          <w:szCs w:val="22"/>
          <w:lang w:eastAsia="en-US"/>
        </w:rPr>
      </w:pPr>
      <w:r>
        <w:rPr>
          <w:rFonts w:cs="Times New Roman"/>
          <w:i w:val="false"/>
          <w:sz w:val="22"/>
          <w:szCs w:val="22"/>
          <w:lang w:eastAsia="en-US"/>
        </w:rPr>
        <w:t>In caso di tali decisioni, il bando dovrà contenere la relativa documentazione con autodichiarazioni ai sensi del DPR 445/2000.</w:t>
      </w:r>
    </w:p>
    <w:p>
      <w:pPr>
        <w:pStyle w:val="Normal"/>
        <w:tabs>
          <w:tab w:val="left" w:pos="3756" w:leader="none"/>
        </w:tabs>
        <w:spacing w:lineRule="auto" w:line="259" w:before="0" w:after="160"/>
        <w:jc w:val="both"/>
        <w:rPr/>
      </w:pPr>
      <w:r>
        <w:rPr>
          <w:rFonts w:cs="Times New Roman"/>
          <w:i w:val="false"/>
          <w:sz w:val="22"/>
          <w:szCs w:val="22"/>
          <w:lang w:eastAsia="en-US"/>
        </w:rPr>
        <w:t xml:space="preserve">I dati così raccolti verranno conferiti nel registro nazionale pertinente al fine delle verifiche sul massimale come richiesto dall’art. 52 </w:t>
      </w:r>
      <w:r>
        <w:rPr>
          <w:rFonts w:cs="Times New Roman"/>
          <w:i w:val="false"/>
          <w:lang w:eastAsia="en-US"/>
        </w:rPr>
        <w:t>della Legge 234/2012.</w:t>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bookmarkStart w:id="2" w:name="_GoBack"/>
      <w:bookmarkStart w:id="3" w:name="_GoBack"/>
      <w:bookmarkEnd w:id="3"/>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tabs>
          <w:tab w:val="left" w:pos="3840" w:leader="none"/>
        </w:tabs>
        <w:rPr>
          <w:rFonts w:ascii="Century Gothic" w:hAnsi="Century Gothic"/>
        </w:rPr>
      </w:pPr>
      <w:r>
        <w:rPr>
          <w:rFonts w:ascii="Century Gothic" w:hAnsi="Century Gothic"/>
        </w:rPr>
      </w:r>
    </w:p>
    <w:p>
      <w:pPr>
        <w:pStyle w:val="Normal"/>
        <w:numPr>
          <w:ilvl w:val="0"/>
          <w:numId w:val="0"/>
        </w:numPr>
        <w:spacing w:before="0" w:after="160"/>
        <w:outlineLvl w:val="1"/>
        <w:rPr>
          <w:rFonts w:cs="Times New Roman"/>
          <w:i w:val="false"/>
          <w:i w:val="false"/>
          <w:smallCaps/>
          <w:sz w:val="22"/>
          <w:szCs w:val="22"/>
          <w:lang w:eastAsia="en-US"/>
        </w:rPr>
      </w:pPr>
      <w:bookmarkStart w:id="4" w:name="_Toc488316400"/>
      <w:bookmarkStart w:id="5" w:name="_Toc482286087"/>
      <w:r>
        <w:rPr>
          <w:rFonts w:cs="Times New Roman"/>
          <w:i w:val="false"/>
          <w:smallCaps/>
          <w:sz w:val="36"/>
          <w:szCs w:val="36"/>
          <w:lang w:eastAsia="en-US"/>
        </w:rPr>
        <w:t>ISTRUZIONI SULLA FIRMA ELETTRONICA</w:t>
      </w:r>
      <w:bookmarkEnd w:id="4"/>
      <w:bookmarkEnd w:id="5"/>
    </w:p>
    <w:p>
      <w:pPr>
        <w:pStyle w:val="Normal"/>
        <w:spacing w:before="0" w:after="160"/>
        <w:rPr>
          <w:rFonts w:cs="Calibri"/>
          <w:i w:val="false"/>
          <w:i w:val="false"/>
          <w:sz w:val="22"/>
          <w:szCs w:val="22"/>
          <w:lang w:eastAsia="en-US"/>
        </w:rPr>
      </w:pPr>
      <w:r>
        <w:rPr>
          <w:rFonts w:cs="Calibri"/>
          <w:i w:val="false"/>
          <w:sz w:val="22"/>
          <w:szCs w:val="22"/>
          <w:lang w:eastAsia="en-US"/>
        </w:rPr>
      </w:r>
    </w:p>
    <w:p>
      <w:pPr>
        <w:pStyle w:val="Normal"/>
        <w:shd w:val="clear" w:color="auto" w:fill="FFFFFF"/>
        <w:spacing w:before="0" w:after="160"/>
        <w:jc w:val="both"/>
        <w:textAlignment w:val="baseline"/>
        <w:rPr/>
      </w:pPr>
      <w:r>
        <w:rPr>
          <w:rFonts w:eastAsia="Times New Roman" w:cs="Times New Roman"/>
          <w:i w:val="false"/>
          <w:color w:val="323232"/>
          <w:sz w:val="22"/>
          <w:szCs w:val="22"/>
        </w:rPr>
        <w:t>Il </w:t>
      </w:r>
      <w:hyperlink r:id="rId2">
        <w:r>
          <w:rPr>
            <w:rStyle w:val="ListLabel230"/>
            <w:rFonts w:eastAsia="Times New Roman" w:cs="Times New Roman"/>
            <w:i w:val="false"/>
            <w:color w:val="186975"/>
            <w:sz w:val="22"/>
            <w:szCs w:val="22"/>
            <w:u w:val="single"/>
          </w:rPr>
          <w:t>Regolamento (UE) n. 910/2014</w:t>
        </w:r>
      </w:hyperlink>
      <w:r>
        <w:rPr>
          <w:rFonts w:eastAsia="Times New Roman" w:cs="Times New Roman"/>
          <w:i w:val="false"/>
          <w:color w:val="323232"/>
          <w:sz w:val="22"/>
          <w:szCs w:val="22"/>
        </w:rPr>
        <w:t> del Parlamento europeo e del Consiglio, del 23 luglio 2014, ha sancito il mutuo riconoscimento delle firme digitali europee. Il Regolamento (articolo 25,3), conferma che "Una firma elettronica qualificata basata su un certificato qualificato rilasciato in uno Stato membro è riconosciuta quale firma elettronica qualificata in tutti gli altri Stati membri". La firma elettronica qualificata, definita come una "una firma elettronica avanzata creata da un dispositivo per la creazione di una firma elettronica qualificata e basata su un certificato qualificato per firme elettroniche", corrisponde alla firma digitale italiana. A decorrere dal 1° luglio 2016 con la piena efficacia del </w:t>
      </w:r>
      <w:hyperlink r:id="rId3">
        <w:r>
          <w:rPr>
            <w:rStyle w:val="ListLabel230"/>
            <w:rFonts w:eastAsia="Times New Roman" w:cs="Times New Roman"/>
            <w:i w:val="false"/>
            <w:color w:val="186975"/>
            <w:sz w:val="22"/>
            <w:szCs w:val="22"/>
            <w:u w:val="single"/>
          </w:rPr>
          <w:t>Regolamento eIDAS (n. 910/2014)</w:t>
        </w:r>
      </w:hyperlink>
      <w:r>
        <w:rPr>
          <w:rFonts w:eastAsia="Times New Roman" w:cs="Times New Roman"/>
          <w:i w:val="false"/>
          <w:color w:val="323232"/>
          <w:sz w:val="22"/>
          <w:szCs w:val="22"/>
        </w:rPr>
        <w:t> diviene obbligatorio per tutte le pubbliche amministrazioni che accettano firme digitali (o qualificate) accettare tutti i formati definiti nella </w:t>
      </w:r>
      <w:hyperlink r:id="rId4">
        <w:r>
          <w:rPr>
            <w:rStyle w:val="ListLabel230"/>
            <w:rFonts w:eastAsia="Times New Roman" w:cs="Times New Roman"/>
            <w:i w:val="false"/>
            <w:color w:val="186975"/>
            <w:sz w:val="22"/>
            <w:szCs w:val="22"/>
            <w:u w:val="single"/>
          </w:rPr>
          <w:t>DECISIONE DI ESECUZIONE (UE) 2015/1506</w:t>
        </w:r>
      </w:hyperlink>
      <w:r>
        <w:rPr>
          <w:rFonts w:eastAsia="Times New Roman" w:cs="Times New Roman"/>
          <w:i w:val="false"/>
          <w:color w:val="323232"/>
          <w:sz w:val="22"/>
          <w:szCs w:val="22"/>
        </w:rPr>
        <w:t> della COMMISSIONE dell'8 settembre 2015.</w:t>
      </w:r>
    </w:p>
    <w:p>
      <w:pPr>
        <w:pStyle w:val="Normal"/>
        <w:spacing w:before="0" w:after="120"/>
        <w:jc w:val="both"/>
        <w:rPr>
          <w:rFonts w:cs="Times New Roman"/>
          <w:i w:val="false"/>
          <w:i w:val="false"/>
          <w:sz w:val="22"/>
          <w:szCs w:val="22"/>
          <w:lang w:eastAsia="en-US"/>
        </w:rPr>
      </w:pPr>
      <w:r>
        <w:rPr>
          <w:rFonts w:cs="Times New Roman"/>
          <w:i w:val="false"/>
          <w:sz w:val="22"/>
          <w:szCs w:val="22"/>
          <w:lang w:eastAsia="en-US"/>
        </w:rPr>
        <w:t>Inoltre</w:t>
      </w:r>
    </w:p>
    <w:p>
      <w:pPr>
        <w:pStyle w:val="Normal"/>
        <w:numPr>
          <w:ilvl w:val="0"/>
          <w:numId w:val="3"/>
        </w:numPr>
        <w:spacing w:lineRule="exact" w:line="300" w:before="0" w:after="160"/>
        <w:contextualSpacing/>
        <w:jc w:val="both"/>
        <w:rPr>
          <w:rFonts w:cs="Helv"/>
          <w:i w:val="false"/>
          <w:i w:val="false"/>
          <w:color w:val="000000"/>
          <w:sz w:val="22"/>
          <w:szCs w:val="22"/>
          <w:lang w:eastAsia="en-US"/>
        </w:rPr>
      </w:pPr>
      <w:r>
        <w:rPr>
          <w:rFonts w:cs="Helv"/>
          <w:i w:val="false"/>
          <w:color w:val="000000"/>
          <w:sz w:val="22"/>
          <w:szCs w:val="22"/>
          <w:lang w:eastAsia="en-US"/>
        </w:rPr>
        <w:t xml:space="preserve">EIDAS disciplina ancora la Firma Elettronica Avanzata. In particolare l'art. 26 del Regolamento Europeo 910/2014 indica "Una firma elettronica avanzata soddisfa i seguenti requisiti: </w:t>
      </w:r>
    </w:p>
    <w:p>
      <w:pPr>
        <w:pStyle w:val="Normal"/>
        <w:spacing w:before="0" w:after="160"/>
        <w:ind w:left="360" w:hanging="0"/>
        <w:jc w:val="both"/>
        <w:rPr>
          <w:rFonts w:cs="Helv"/>
          <w:i w:val="false"/>
          <w:i w:val="false"/>
          <w:color w:val="000000"/>
          <w:sz w:val="22"/>
          <w:szCs w:val="22"/>
          <w:lang w:eastAsia="en-US"/>
        </w:rPr>
      </w:pPr>
      <w:r>
        <w:rPr>
          <w:rFonts w:cs="Helv"/>
          <w:i w:val="false"/>
          <w:color w:val="000000"/>
          <w:sz w:val="22"/>
          <w:szCs w:val="22"/>
          <w:lang w:eastAsia="en-US"/>
        </w:rPr>
        <w:t>a) è connessa unicamente al firmatario;</w:t>
      </w:r>
    </w:p>
    <w:p>
      <w:pPr>
        <w:pStyle w:val="Normal"/>
        <w:spacing w:before="0" w:after="160"/>
        <w:ind w:left="360" w:hanging="0"/>
        <w:jc w:val="both"/>
        <w:rPr>
          <w:rFonts w:cs="Helv"/>
          <w:i w:val="false"/>
          <w:i w:val="false"/>
          <w:color w:val="000000"/>
          <w:sz w:val="22"/>
          <w:szCs w:val="22"/>
          <w:lang w:eastAsia="en-US"/>
        </w:rPr>
      </w:pPr>
      <w:r>
        <w:rPr>
          <w:rFonts w:cs="Helv"/>
          <w:i w:val="false"/>
          <w:color w:val="000000"/>
          <w:sz w:val="22"/>
          <w:szCs w:val="22"/>
          <w:lang w:eastAsia="en-US"/>
        </w:rPr>
        <w:t>b) è idonea a identificare il firmatario;</w:t>
      </w:r>
    </w:p>
    <w:p>
      <w:pPr>
        <w:pStyle w:val="Normal"/>
        <w:spacing w:before="0" w:after="160"/>
        <w:ind w:left="360" w:hanging="0"/>
        <w:jc w:val="both"/>
        <w:rPr>
          <w:rFonts w:cs="Helv"/>
          <w:i w:val="false"/>
          <w:i w:val="false"/>
          <w:color w:val="000000"/>
          <w:sz w:val="22"/>
          <w:szCs w:val="22"/>
          <w:lang w:eastAsia="en-US"/>
        </w:rPr>
      </w:pPr>
      <w:r>
        <w:rPr>
          <w:rFonts w:cs="Helv"/>
          <w:i w:val="false"/>
          <w:color w:val="000000"/>
          <w:sz w:val="22"/>
          <w:szCs w:val="22"/>
          <w:lang w:eastAsia="en-US"/>
        </w:rPr>
        <w:t xml:space="preserve">c) è creata mediante dati per la creazione di una firma elettronica che il firmatario può, con un elevato livello di sicurezza, utilizzare sotto il proprio esclusivo controllo; </w:t>
      </w:r>
    </w:p>
    <w:p>
      <w:pPr>
        <w:pStyle w:val="Normal"/>
        <w:spacing w:before="0" w:after="160"/>
        <w:ind w:left="360" w:hanging="0"/>
        <w:jc w:val="both"/>
        <w:rPr>
          <w:rFonts w:cs="Helv"/>
          <w:i w:val="false"/>
          <w:i w:val="false"/>
          <w:color w:val="000000"/>
          <w:sz w:val="22"/>
          <w:szCs w:val="22"/>
          <w:lang w:eastAsia="en-US"/>
        </w:rPr>
      </w:pPr>
      <w:r>
        <w:rPr>
          <w:rFonts w:cs="Helv"/>
          <w:i w:val="false"/>
          <w:color w:val="000000"/>
          <w:sz w:val="22"/>
          <w:szCs w:val="22"/>
          <w:lang w:eastAsia="en-US"/>
        </w:rPr>
        <w:t>d) è collegata ai dati sottoscritti in modo da consentire l’identificazione di ogni successiva modifica di tali dati.</w:t>
      </w:r>
    </w:p>
    <w:p>
      <w:pPr>
        <w:pStyle w:val="Normal"/>
        <w:numPr>
          <w:ilvl w:val="0"/>
          <w:numId w:val="3"/>
        </w:numPr>
        <w:spacing w:lineRule="exact" w:line="300" w:before="0" w:after="160"/>
        <w:contextualSpacing/>
        <w:jc w:val="both"/>
        <w:rPr>
          <w:rFonts w:cs="Helv"/>
          <w:i w:val="false"/>
          <w:i w:val="false"/>
          <w:color w:val="000000"/>
          <w:sz w:val="22"/>
          <w:szCs w:val="22"/>
          <w:lang w:eastAsia="en-US"/>
        </w:rPr>
      </w:pPr>
      <w:r>
        <w:rPr>
          <w:rFonts w:cs="Helv"/>
          <w:i w:val="false"/>
          <w:color w:val="000000"/>
          <w:sz w:val="22"/>
          <w:szCs w:val="22"/>
          <w:lang w:eastAsia="en-US"/>
        </w:rPr>
        <w:t>Il CAD continua a riconoscere il valore della Firma Elettronica Avanzata nell'art.21 comma 2 "Il documento informatico sottoscritto con firma elettronica avanzata, qualificata o digitale, formato nel rispetto delle regole tecniche di cui all'articolo 20, comma 3, ha altresì l'efficacia prevista dall'articolo 2702 del codice civile".</w:t>
      </w:r>
    </w:p>
    <w:p>
      <w:pPr>
        <w:pStyle w:val="Norma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s>
        <w:ind w:left="720" w:hanging="0"/>
        <w:jc w:val="both"/>
        <w:rPr>
          <w:rFonts w:cs="Helv"/>
          <w:i w:val="false"/>
          <w:i w:val="false"/>
          <w:sz w:val="22"/>
          <w:szCs w:val="22"/>
          <w:lang w:eastAsia="en-US"/>
        </w:rPr>
      </w:pPr>
      <w:r>
        <w:rPr>
          <w:rFonts w:cs="Helv"/>
          <w:i w:val="false"/>
          <w:sz w:val="22"/>
          <w:szCs w:val="22"/>
          <w:lang w:eastAsia="en-US"/>
        </w:rPr>
      </w:r>
    </w:p>
    <w:p>
      <w:pPr>
        <w:pStyle w:val="Normal"/>
        <w:numPr>
          <w:ilvl w:val="0"/>
          <w:numId w:val="3"/>
        </w:numPr>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s>
        <w:spacing w:lineRule="exact" w:line="300" w:before="0" w:after="120"/>
        <w:ind w:left="357" w:hanging="357"/>
        <w:contextualSpacing/>
        <w:jc w:val="both"/>
        <w:rPr>
          <w:rFonts w:cs="Helv"/>
          <w:i w:val="false"/>
          <w:i w:val="false"/>
          <w:sz w:val="22"/>
          <w:szCs w:val="22"/>
          <w:lang w:eastAsia="en-US"/>
        </w:rPr>
      </w:pPr>
      <w:r>
        <w:rPr>
          <w:rFonts w:cs="Helv"/>
          <w:i w:val="false"/>
          <w:sz w:val="22"/>
          <w:szCs w:val="22"/>
          <w:lang w:eastAsia="en-US"/>
        </w:rPr>
        <w:t>Il DPCM del 22 febbraio 2013 è ancora in vigore e all’art. 61 comma 2 recita: "L'utilizzo della Carta d’Identità Elettronica, della Carta Nazionale dei Servizi, del documento d’identità dei pubblici dipendenti (Mod. ATe), del passaporto elettronico e degli altri strumenti ad essi conformi sostituisce, nei confronti della pubblica amministrazione, la firma elettronica avanzata ai sensi delle presenti regole tecniche per i servizi e le attività di cui agli articoli 64 e 65 del codice."</w:t>
      </w:r>
    </w:p>
    <w:p>
      <w:pPr>
        <w:pStyle w:val="Normal"/>
        <w:ind w:left="720" w:hanging="0"/>
        <w:jc w:val="both"/>
        <w:rPr>
          <w:rFonts w:cs="Helv"/>
          <w:i w:val="false"/>
          <w:i w:val="false"/>
          <w:color w:val="000000"/>
          <w:sz w:val="22"/>
          <w:szCs w:val="22"/>
          <w:lang w:eastAsia="en-US"/>
        </w:rPr>
      </w:pPr>
      <w:r>
        <w:rPr>
          <w:rFonts w:cs="Helv"/>
          <w:i w:val="false"/>
          <w:color w:val="000000"/>
          <w:sz w:val="22"/>
          <w:szCs w:val="22"/>
          <w:lang w:eastAsia="en-US"/>
        </w:rPr>
      </w:r>
    </w:p>
    <w:p>
      <w:pPr>
        <w:pStyle w:val="Normal"/>
        <w:tabs>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s>
        <w:spacing w:before="0" w:after="160"/>
        <w:jc w:val="both"/>
        <w:rPr>
          <w:rFonts w:cs="Helv"/>
          <w:i w:val="false"/>
          <w:i w:val="false"/>
          <w:color w:val="000000"/>
          <w:sz w:val="22"/>
          <w:szCs w:val="22"/>
          <w:lang w:eastAsia="en-US"/>
        </w:rPr>
      </w:pPr>
      <w:r>
        <w:rPr>
          <w:rFonts w:cs="Helv"/>
          <w:i w:val="false"/>
          <w:color w:val="000000"/>
          <w:sz w:val="22"/>
          <w:szCs w:val="22"/>
          <w:lang w:eastAsia="en-US"/>
        </w:rPr>
        <w:t>Da tutto questo se ne deduce che la FEA è ancora disciplinata, è ancora riconosciuta dal CAD e che l’utilizzo della CNS produce "de iure" gli stessi effetti di una FEA nell’ambito dei servizi e delle attività tra cittadini e pubbliche amministrazioni.</w:t>
      </w:r>
    </w:p>
    <w:p>
      <w:pPr>
        <w:pStyle w:val="Normal"/>
        <w:shd w:val="clear" w:color="auto" w:fill="FFFFFF"/>
        <w:spacing w:before="0" w:after="160"/>
        <w:jc w:val="both"/>
        <w:textAlignment w:val="baseline"/>
        <w:rPr>
          <w:rFonts w:eastAsia="Times New Roman" w:cs="Times New Roman"/>
          <w:i w:val="false"/>
          <w:i w:val="false"/>
          <w:color w:val="323232"/>
          <w:sz w:val="22"/>
          <w:szCs w:val="22"/>
        </w:rPr>
      </w:pPr>
      <w:r>
        <w:rPr>
          <w:rFonts w:cs="Helv"/>
          <w:i w:val="false"/>
          <w:color w:val="000000"/>
          <w:sz w:val="22"/>
          <w:szCs w:val="22"/>
          <w:lang w:eastAsia="en-US"/>
        </w:rPr>
        <w:t>Pertanto, salvo diverse modifiche al DPCM di cui sopra, la firma con CNS è da considerarsi una FEA nell'interlocuzione tra cittadini e PA.</w:t>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both"/>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jc w:val="center"/>
        <w:rPr>
          <w:rFonts w:cs="Times New Roman"/>
          <w:i w:val="false"/>
          <w:i w:val="false"/>
          <w:smallCaps/>
          <w:color w:val="538135"/>
          <w:sz w:val="22"/>
          <w:szCs w:val="22"/>
          <w:lang w:eastAsia="en-US"/>
        </w:rPr>
      </w:pPr>
      <w:r>
        <w:rPr>
          <w:rFonts w:cs="Times New Roman"/>
          <w:i w:val="false"/>
          <w:smallCaps/>
          <w:color w:val="538135"/>
          <w:sz w:val="22"/>
          <w:szCs w:val="22"/>
          <w:lang w:eastAsia="en-US"/>
        </w:rPr>
      </w:r>
    </w:p>
    <w:p>
      <w:pPr>
        <w:pStyle w:val="Normal"/>
        <w:numPr>
          <w:ilvl w:val="0"/>
          <w:numId w:val="0"/>
        </w:numPr>
        <w:jc w:val="both"/>
        <w:outlineLvl w:val="1"/>
        <w:rPr>
          <w:rFonts w:cs="Times New Roman"/>
          <w:i w:val="false"/>
          <w:i w:val="false"/>
          <w:smallCaps/>
          <w:sz w:val="36"/>
          <w:szCs w:val="36"/>
          <w:lang w:eastAsia="en-US"/>
        </w:rPr>
      </w:pPr>
      <w:bookmarkStart w:id="6" w:name="_Toc488316401"/>
      <w:bookmarkStart w:id="7" w:name="_Toc482286088"/>
      <w:bookmarkStart w:id="8" w:name="_Toc469395511"/>
      <w:bookmarkStart w:id="9" w:name="_Toc469393853"/>
      <w:bookmarkStart w:id="10" w:name="_Toc468113116"/>
      <w:r>
        <w:rPr>
          <w:rFonts w:cs="Times New Roman"/>
          <w:i w:val="false"/>
          <w:smallCaps/>
          <w:sz w:val="36"/>
          <w:szCs w:val="36"/>
          <w:lang w:eastAsia="en-US"/>
        </w:rPr>
        <w:t>ISTRUZIONI SULL’APPLICAZIONE DELL’IMPOSTA DI BOLLO</w:t>
      </w:r>
      <w:bookmarkEnd w:id="6"/>
      <w:bookmarkEnd w:id="7"/>
      <w:bookmarkEnd w:id="8"/>
      <w:bookmarkEnd w:id="9"/>
      <w:bookmarkEnd w:id="10"/>
    </w:p>
    <w:p>
      <w:pPr>
        <w:pStyle w:val="Normal"/>
        <w:jc w:val="both"/>
        <w:rPr/>
      </w:pPr>
      <w:r>
        <w:rPr/>
      </w:r>
      <w:bookmarkStart w:id="11" w:name="DOCUMENTO21"/>
      <w:bookmarkStart w:id="12" w:name="DOCUMENTO21"/>
      <w:bookmarkEnd w:id="12"/>
    </w:p>
    <w:p>
      <w:pPr>
        <w:pStyle w:val="Normal"/>
        <w:spacing w:lineRule="auto" w:line="259" w:before="0" w:after="160"/>
        <w:jc w:val="both"/>
        <w:rPr>
          <w:rFonts w:cs="Times New Roman"/>
          <w:i w:val="false"/>
          <w:i w:val="false"/>
          <w:lang w:eastAsia="en-US"/>
        </w:rPr>
      </w:pPr>
      <w:r>
        <w:rPr>
          <w:rFonts w:cs="Times New Roman"/>
          <w:i w:val="false"/>
          <w:lang w:eastAsia="en-US"/>
        </w:rPr>
      </w:r>
    </w:p>
    <w:p>
      <w:pPr>
        <w:pStyle w:val="Normal"/>
        <w:spacing w:lineRule="auto" w:line="259"/>
        <w:jc w:val="both"/>
        <w:rPr>
          <w:rFonts w:cs="Calibri"/>
          <w:bCs/>
          <w:i w:val="false"/>
          <w:i w:val="false"/>
          <w:sz w:val="22"/>
          <w:szCs w:val="22"/>
          <w:lang w:eastAsia="en-US"/>
        </w:rPr>
      </w:pPr>
      <w:r>
        <w:rPr>
          <w:rFonts w:cs="Times New Roman"/>
          <w:i w:val="false"/>
          <w:sz w:val="22"/>
          <w:szCs w:val="22"/>
          <w:lang w:eastAsia="en-US"/>
        </w:rPr>
        <w:t>L’imposta di bollo è un’imposta indiretta regolamentata dal D.P.R</w:t>
      </w:r>
      <w:r>
        <w:rPr>
          <w:rFonts w:cs="Times New Roman"/>
          <w:bCs/>
          <w:i w:val="false"/>
          <w:sz w:val="22"/>
          <w:szCs w:val="22"/>
          <w:lang w:eastAsia="en-US"/>
        </w:rPr>
        <w:t xml:space="preserve">. 26 ottobre 1972 n. 642, che rappresenta il principale riferimento in materia. In particolare </w:t>
      </w:r>
      <w:r>
        <w:rPr>
          <w:rFonts w:cs="Calibri"/>
          <w:bCs/>
          <w:i w:val="false"/>
          <w:sz w:val="22"/>
          <w:szCs w:val="22"/>
          <w:lang w:eastAsia="en-US"/>
        </w:rPr>
        <w:t xml:space="preserve">l’Allegato A </w:t>
      </w:r>
      <w:r>
        <w:rPr>
          <w:rFonts w:cs="Times New Roman"/>
          <w:bCs/>
          <w:i w:val="false"/>
          <w:sz w:val="22"/>
          <w:szCs w:val="22"/>
          <w:lang w:eastAsia="en-US"/>
        </w:rPr>
        <w:t>identifica gli atti, i documenti e i registri soggetti all’imposta di bollo fin dall’origine mentre</w:t>
      </w:r>
      <w:r>
        <w:rPr>
          <w:rFonts w:cs="Calibri"/>
          <w:bCs/>
          <w:i w:val="false"/>
          <w:sz w:val="22"/>
          <w:szCs w:val="22"/>
          <w:lang w:eastAsia="en-US"/>
        </w:rPr>
        <w:t xml:space="preserve"> nell’Allegato B </w:t>
      </w:r>
      <w:r>
        <w:rPr>
          <w:rFonts w:cs="Times New Roman"/>
          <w:bCs/>
          <w:i w:val="false"/>
          <w:sz w:val="22"/>
          <w:szCs w:val="22"/>
          <w:lang w:eastAsia="en-US"/>
        </w:rPr>
        <w:t>elenca le casistiche</w:t>
      </w:r>
      <w:r>
        <w:rPr>
          <w:rFonts w:cs="Calibri"/>
          <w:bCs/>
          <w:i w:val="false"/>
          <w:sz w:val="22"/>
          <w:szCs w:val="22"/>
          <w:lang w:eastAsia="en-US"/>
        </w:rPr>
        <w:t xml:space="preserve"> </w:t>
      </w:r>
      <w:r>
        <w:rPr>
          <w:rFonts w:cs="Times New Roman"/>
          <w:bCs/>
          <w:i w:val="false"/>
          <w:sz w:val="22"/>
          <w:szCs w:val="22"/>
          <w:lang w:eastAsia="en-US"/>
        </w:rPr>
        <w:t xml:space="preserve">che ne sono </w:t>
      </w:r>
      <w:r>
        <w:rPr>
          <w:rFonts w:cs="Calibri"/>
          <w:bCs/>
          <w:i w:val="false"/>
          <w:sz w:val="22"/>
          <w:szCs w:val="22"/>
          <w:lang w:eastAsia="en-US"/>
        </w:rPr>
        <w:t>esenti in modo assoluto. Tale normativa ha subito negli anni modifiche e integrazioni, oltre ad aggiornamenti delle tariffe applicate.</w:t>
      </w:r>
    </w:p>
    <w:p>
      <w:pPr>
        <w:pStyle w:val="Normal"/>
        <w:spacing w:lineRule="auto" w:line="259"/>
        <w:jc w:val="both"/>
        <w:rPr>
          <w:rFonts w:cs="Calibri"/>
          <w:bCs/>
          <w:i w:val="false"/>
          <w:i w:val="false"/>
          <w:sz w:val="22"/>
          <w:szCs w:val="22"/>
          <w:lang w:eastAsia="en-US"/>
        </w:rPr>
      </w:pPr>
      <w:r>
        <w:rPr>
          <w:rFonts w:cs="Calibri"/>
          <w:bCs/>
          <w:i w:val="false"/>
          <w:sz w:val="22"/>
          <w:szCs w:val="22"/>
          <w:lang w:eastAsia="en-US"/>
        </w:rPr>
      </w:r>
    </w:p>
    <w:p>
      <w:pPr>
        <w:pStyle w:val="Normal"/>
        <w:spacing w:lineRule="auto" w:line="259"/>
        <w:jc w:val="both"/>
        <w:rPr>
          <w:rFonts w:cs="Calibri"/>
          <w:bCs/>
          <w:i w:val="false"/>
          <w:i w:val="false"/>
          <w:sz w:val="22"/>
          <w:szCs w:val="22"/>
          <w:lang w:eastAsia="en-US"/>
        </w:rPr>
      </w:pPr>
      <w:r>
        <w:rPr>
          <w:rFonts w:cs="Calibri"/>
          <w:bCs/>
          <w:i w:val="false"/>
          <w:sz w:val="22"/>
          <w:szCs w:val="22"/>
          <w:lang w:eastAsia="en-US"/>
        </w:rPr>
        <w:t>L’articolo 3 dell’Allegato A - Tariffa (parte I) del DPR impone l’obbligo di versamento dell’imposta di bollo, per un importo predefinito di € 16,00, nel caso di istanze, petizioni, ricorsi e relative memorie diretti agli uffici e agli organi, anche collegiali, dell'Amministrazione dello Stato, delle regioni, delle province, dei comuni, loro consorzi e associazioni, delle comunità montane e delle unità sanitarie locali, nonché agli enti pubblici in relazione alla tenuta di pubblici registri, tendenti ad ottenere l'emanazione di un provvedimento amministrativo o il rilascio di certificati, estratti, copie e simili.</w:t>
      </w:r>
    </w:p>
    <w:p>
      <w:pPr>
        <w:pStyle w:val="Normal"/>
        <w:spacing w:lineRule="exact" w:line="300" w:before="0" w:after="160"/>
        <w:jc w:val="both"/>
        <w:rPr>
          <w:rFonts w:cs="Times New Roman"/>
          <w:i w:val="false"/>
          <w:i w:val="false"/>
          <w:sz w:val="22"/>
          <w:szCs w:val="22"/>
          <w:lang w:eastAsia="en-US"/>
        </w:rPr>
      </w:pPr>
      <w:r>
        <w:rPr>
          <w:rFonts w:cs="Times New Roman"/>
          <w:i w:val="false"/>
          <w:sz w:val="22"/>
          <w:szCs w:val="22"/>
          <w:lang w:eastAsia="en-US"/>
        </w:rPr>
        <w:t xml:space="preserve">In caso di </w:t>
      </w:r>
      <w:r>
        <w:rPr>
          <w:rFonts w:cs="Times New Roman"/>
          <w:b/>
          <w:i w:val="false"/>
          <w:sz w:val="22"/>
          <w:szCs w:val="22"/>
          <w:lang w:eastAsia="en-US"/>
        </w:rPr>
        <w:t>aggregazione di soggetti pubblici e privati</w:t>
      </w:r>
      <w:r>
        <w:rPr>
          <w:rFonts w:cs="Times New Roman"/>
          <w:i w:val="false"/>
          <w:sz w:val="22"/>
          <w:szCs w:val="22"/>
          <w:lang w:eastAsia="en-US"/>
        </w:rPr>
        <w:t xml:space="preserve"> l’imposta di bollo deve essere versata.</w:t>
      </w:r>
    </w:p>
    <w:p>
      <w:pPr>
        <w:pStyle w:val="Normal"/>
        <w:spacing w:lineRule="auto" w:line="259"/>
        <w:jc w:val="both"/>
        <w:rPr>
          <w:rFonts w:cs="Times New Roman"/>
          <w:i w:val="false"/>
          <w:i w:val="false"/>
          <w:sz w:val="22"/>
          <w:szCs w:val="22"/>
          <w:highlight w:val="yellow"/>
          <w:lang w:eastAsia="en-US"/>
        </w:rPr>
      </w:pPr>
      <w:r>
        <w:rPr>
          <w:rFonts w:cs="Times New Roman"/>
          <w:i w:val="false"/>
          <w:sz w:val="22"/>
          <w:szCs w:val="22"/>
          <w:highlight w:val="yellow"/>
          <w:lang w:eastAsia="en-US"/>
        </w:rPr>
      </w:r>
    </w:p>
    <w:p>
      <w:pPr>
        <w:pStyle w:val="Normal"/>
        <w:spacing w:lineRule="auto" w:line="259"/>
        <w:jc w:val="both"/>
        <w:rPr>
          <w:rFonts w:cs="Calibri"/>
          <w:bCs/>
          <w:i w:val="false"/>
          <w:i w:val="false"/>
          <w:sz w:val="22"/>
          <w:szCs w:val="22"/>
          <w:lang w:eastAsia="en-US"/>
        </w:rPr>
      </w:pPr>
      <w:r>
        <w:rPr>
          <w:rFonts w:cs="Calibri"/>
          <w:bCs/>
          <w:i w:val="false"/>
          <w:sz w:val="22"/>
          <w:szCs w:val="22"/>
          <w:lang w:eastAsia="en-US"/>
        </w:rPr>
        <w:t xml:space="preserve">In caso di </w:t>
      </w:r>
      <w:r>
        <w:rPr>
          <w:rFonts w:cs="Calibri"/>
          <w:b/>
          <w:bCs/>
          <w:i w:val="false"/>
          <w:sz w:val="22"/>
          <w:szCs w:val="22"/>
          <w:lang w:eastAsia="en-US"/>
        </w:rPr>
        <w:t>beneficiari “plurimi”</w:t>
      </w:r>
      <w:r>
        <w:rPr>
          <w:rFonts w:cs="Calibri"/>
          <w:bCs/>
          <w:i w:val="false"/>
          <w:sz w:val="22"/>
          <w:szCs w:val="22"/>
          <w:lang w:eastAsia="en-US"/>
        </w:rPr>
        <w:t xml:space="preserve"> nel fac-simile della domanda allegata al bando ciascun beneficiario dovrà dichiarare: “di essere esente dal pagamento dell’imposta di bollo ai sensi della L… art…. /di aver assolto al pagamento dell’imposta di bollo di … euro ai sensi del DPR 642/1972 - o valore stabilito dalle successive normative”.</w:t>
      </w:r>
    </w:p>
    <w:p>
      <w:pPr>
        <w:pStyle w:val="Normal"/>
        <w:spacing w:lineRule="auto" w:line="259"/>
        <w:jc w:val="both"/>
        <w:rPr>
          <w:rFonts w:cs="Calibri"/>
          <w:bCs/>
          <w:i w:val="false"/>
          <w:i w:val="false"/>
          <w:sz w:val="22"/>
          <w:szCs w:val="22"/>
          <w:lang w:eastAsia="en-US"/>
        </w:rPr>
      </w:pPr>
      <w:r>
        <w:rPr>
          <w:rFonts w:cs="Calibri"/>
          <w:bCs/>
          <w:i w:val="false"/>
          <w:sz w:val="22"/>
          <w:szCs w:val="22"/>
          <w:lang w:eastAsia="en-US"/>
        </w:rPr>
      </w:r>
    </w:p>
    <w:p>
      <w:pPr>
        <w:pStyle w:val="Normal"/>
        <w:spacing w:lineRule="auto" w:line="259"/>
        <w:jc w:val="both"/>
        <w:rPr>
          <w:rFonts w:cs="Times New Roman"/>
          <w:i w:val="false"/>
          <w:i w:val="false"/>
          <w:sz w:val="22"/>
          <w:szCs w:val="22"/>
          <w:highlight w:val="yellow"/>
          <w:lang w:eastAsia="en-US"/>
        </w:rPr>
      </w:pPr>
      <w:r>
        <w:rPr>
          <w:rFonts w:cs="Times New Roman"/>
          <w:i w:val="false"/>
          <w:sz w:val="22"/>
          <w:szCs w:val="22"/>
          <w:highlight w:val="yellow"/>
          <w:lang w:eastAsia="en-US"/>
        </w:rPr>
      </w:r>
    </w:p>
    <w:p>
      <w:pPr>
        <w:pStyle w:val="Normal"/>
        <w:jc w:val="both"/>
        <w:rPr>
          <w:rFonts w:cs="Calibri"/>
          <w:b/>
          <w:b/>
          <w:bCs/>
          <w:i w:val="false"/>
          <w:i w:val="false"/>
          <w:color w:val="000000"/>
          <w:sz w:val="22"/>
          <w:szCs w:val="22"/>
          <w:lang w:eastAsia="en-US"/>
        </w:rPr>
      </w:pPr>
      <w:r>
        <w:rPr>
          <w:rFonts w:cs="Calibri"/>
          <w:b/>
          <w:bCs/>
          <w:i w:val="false"/>
          <w:color w:val="000000"/>
          <w:sz w:val="22"/>
          <w:szCs w:val="22"/>
          <w:lang w:eastAsia="en-US"/>
        </w:rPr>
        <w:t xml:space="preserve">Esenzioni dagli obblighi di bollo </w:t>
      </w:r>
    </w:p>
    <w:p>
      <w:pPr>
        <w:pStyle w:val="Normal"/>
        <w:jc w:val="both"/>
        <w:rPr>
          <w:rFonts w:cs="Calibri"/>
          <w:b/>
          <w:b/>
          <w:bCs/>
          <w:i w:val="false"/>
          <w:i w:val="false"/>
          <w:color w:val="000000"/>
          <w:sz w:val="22"/>
          <w:szCs w:val="22"/>
          <w:lang w:eastAsia="en-US"/>
        </w:rPr>
      </w:pPr>
      <w:r>
        <w:rPr>
          <w:rFonts w:cs="Calibri"/>
          <w:b/>
          <w:bCs/>
          <w:i w:val="false"/>
          <w:color w:val="000000"/>
          <w:sz w:val="22"/>
          <w:szCs w:val="22"/>
          <w:lang w:eastAsia="en-US"/>
        </w:rPr>
      </w:r>
    </w:p>
    <w:p>
      <w:pPr>
        <w:pStyle w:val="Normal"/>
        <w:spacing w:lineRule="auto" w:line="259"/>
        <w:jc w:val="both"/>
        <w:rPr>
          <w:rFonts w:eastAsia="MS PGothic" w:cs="Times New Roman"/>
          <w:kern w:val="2"/>
          <w:sz w:val="22"/>
          <w:szCs w:val="22"/>
          <w:lang w:eastAsia="en-US"/>
        </w:rPr>
      </w:pPr>
      <w:r>
        <w:rPr>
          <w:rFonts w:cs="Times New Roman"/>
          <w:bCs/>
          <w:sz w:val="22"/>
          <w:szCs w:val="22"/>
          <w:lang w:eastAsia="en-US"/>
        </w:rPr>
        <w:t>L’elenco che segue è da considerarsi non esaustivo per quanto attiene i riferimenti ad eventuali leggi speciali che ampliano la base di esenzione prevista dall’Allegato B</w:t>
      </w:r>
      <w:r>
        <w:rPr>
          <w:rFonts w:eastAsia="MS PGothic" w:cs="Times New Roman"/>
          <w:kern w:val="2"/>
          <w:sz w:val="22"/>
          <w:szCs w:val="22"/>
          <w:lang w:eastAsia="en-US"/>
        </w:rPr>
        <w:t xml:space="preserve"> del D.P.R. n. 642/1972</w:t>
      </w:r>
    </w:p>
    <w:p>
      <w:pPr>
        <w:pStyle w:val="Normal"/>
        <w:spacing w:lineRule="auto" w:line="259"/>
        <w:jc w:val="both"/>
        <w:rPr>
          <w:rFonts w:cs="Times New Roman"/>
          <w:bCs/>
          <w:sz w:val="22"/>
          <w:szCs w:val="22"/>
          <w:lang w:eastAsia="en-US"/>
        </w:rPr>
      </w:pPr>
      <w:r>
        <w:rPr>
          <w:rFonts w:cs="Times New Roman"/>
          <w:bCs/>
          <w:sz w:val="22"/>
          <w:szCs w:val="22"/>
          <w:lang w:eastAsia="en-US"/>
        </w:rPr>
      </w:r>
    </w:p>
    <w:p>
      <w:pPr>
        <w:pStyle w:val="Normal"/>
        <w:numPr>
          <w:ilvl w:val="0"/>
          <w:numId w:val="1"/>
        </w:numPr>
        <w:spacing w:lineRule="auto" w:line="360" w:before="0" w:after="160"/>
        <w:ind w:left="357" w:hanging="357"/>
        <w:jc w:val="both"/>
        <w:rPr>
          <w:rFonts w:cs="Calibri"/>
          <w:b/>
          <w:b/>
          <w:bCs/>
          <w:i w:val="false"/>
          <w:i w:val="false"/>
          <w:color w:val="000000"/>
          <w:sz w:val="22"/>
          <w:szCs w:val="22"/>
          <w:lang w:eastAsia="en-US"/>
        </w:rPr>
      </w:pPr>
      <w:r>
        <w:rPr>
          <w:rFonts w:cs="Calibri"/>
          <w:b/>
          <w:bCs/>
          <w:i w:val="false"/>
          <w:color w:val="000000"/>
          <w:sz w:val="22"/>
          <w:szCs w:val="22"/>
          <w:lang w:eastAsia="en-US"/>
        </w:rPr>
        <w:t>Cittadini</w:t>
      </w:r>
      <w:r>
        <w:rPr>
          <w:rFonts w:eastAsia="MS PGothic" w:cs="Times New Roman"/>
          <w:iCs/>
          <w:color w:val="000000"/>
          <w:kern w:val="2"/>
          <w:sz w:val="22"/>
          <w:szCs w:val="22"/>
          <w:lang w:eastAsia="en-US"/>
        </w:rPr>
        <w:t xml:space="preserve"> </w:t>
      </w:r>
      <w:r>
        <w:rPr>
          <w:rFonts w:eastAsia="MS PGothic" w:cs="Times New Roman"/>
          <w:i w:val="false"/>
          <w:iCs/>
          <w:color w:val="000000"/>
          <w:kern w:val="2"/>
          <w:sz w:val="22"/>
          <w:szCs w:val="22"/>
          <w:lang w:eastAsia="en-US"/>
        </w:rPr>
        <w:t>che presentano domande per il conseguimento di sussidi o per l’ammissione in istituti di beneficienza e relativi documenti (Allegato B art. 8.3);</w:t>
      </w:r>
    </w:p>
    <w:p>
      <w:pPr>
        <w:pStyle w:val="Normal"/>
        <w:numPr>
          <w:ilvl w:val="0"/>
          <w:numId w:val="1"/>
        </w:numPr>
        <w:spacing w:lineRule="auto" w:line="360" w:before="0" w:after="160"/>
        <w:ind w:left="357" w:hanging="357"/>
        <w:jc w:val="both"/>
        <w:rPr>
          <w:rFonts w:eastAsia="MS PGothic" w:cs="Times New Roman"/>
          <w:i w:val="false"/>
          <w:i w:val="false"/>
          <w:iCs/>
          <w:color w:val="000000"/>
          <w:kern w:val="2"/>
          <w:sz w:val="22"/>
          <w:szCs w:val="22"/>
          <w:lang w:eastAsia="en-US"/>
        </w:rPr>
      </w:pPr>
      <w:r>
        <w:rPr>
          <w:rFonts w:cs="Calibri"/>
          <w:b/>
          <w:bCs/>
          <w:i w:val="false"/>
          <w:color w:val="000000"/>
          <w:sz w:val="22"/>
          <w:szCs w:val="22"/>
          <w:lang w:eastAsia="en-US"/>
        </w:rPr>
        <w:t>Enti pubblici</w:t>
      </w:r>
      <w:r>
        <w:rPr>
          <w:rFonts w:cs="Calibri"/>
          <w:bCs/>
          <w:i w:val="false"/>
          <w:color w:val="000000"/>
          <w:sz w:val="22"/>
          <w:szCs w:val="22"/>
          <w:lang w:eastAsia="en-US"/>
        </w:rPr>
        <w:t xml:space="preserve"> </w:t>
      </w:r>
      <w:r>
        <w:rPr>
          <w:rFonts w:eastAsia="MS PGothic" w:cs="Times New Roman"/>
          <w:i w:val="false"/>
          <w:iCs/>
          <w:color w:val="000000"/>
          <w:kern w:val="2"/>
          <w:sz w:val="22"/>
          <w:szCs w:val="22"/>
          <w:lang w:eastAsia="en-US"/>
        </w:rPr>
        <w:t>per atti e documenti posti in essere da amministrazioni dello Stato, regioni, province, comuni, loro consorzi e associazioni, nonché comunità montane sempreché vengano tra loro scambiati (Allegato B art. 16);</w:t>
      </w:r>
    </w:p>
    <w:p>
      <w:pPr>
        <w:pStyle w:val="Normal"/>
        <w:numPr>
          <w:ilvl w:val="0"/>
          <w:numId w:val="1"/>
        </w:numPr>
        <w:spacing w:lineRule="auto" w:line="360" w:before="0" w:after="160"/>
        <w:ind w:left="357" w:hanging="357"/>
        <w:jc w:val="both"/>
        <w:rPr>
          <w:rFonts w:cs="Calibri"/>
          <w:bCs/>
          <w:i w:val="false"/>
          <w:i w:val="false"/>
          <w:sz w:val="22"/>
          <w:szCs w:val="22"/>
          <w:lang w:eastAsia="en-US"/>
        </w:rPr>
      </w:pPr>
      <w:r>
        <w:rPr>
          <w:rFonts w:cs="Calibri"/>
          <w:b/>
          <w:bCs/>
          <w:i w:val="false"/>
          <w:sz w:val="22"/>
          <w:szCs w:val="22"/>
          <w:lang w:eastAsia="en-US"/>
        </w:rPr>
        <w:t>Società agricole</w:t>
      </w:r>
      <w:r>
        <w:rPr>
          <w:rFonts w:cs="Calibri"/>
          <w:bCs/>
          <w:i w:val="false"/>
          <w:sz w:val="22"/>
          <w:szCs w:val="22"/>
          <w:lang w:eastAsia="en-US"/>
        </w:rPr>
        <w:t xml:space="preserve"> (</w:t>
      </w:r>
      <w:r>
        <w:rPr>
          <w:rFonts w:eastAsia="MS PGothic" w:cs="Times New Roman"/>
          <w:i w:val="false"/>
          <w:iCs/>
          <w:color w:val="000000"/>
          <w:kern w:val="2"/>
          <w:sz w:val="22"/>
          <w:szCs w:val="22"/>
          <w:lang w:eastAsia="en-US"/>
        </w:rPr>
        <w:t>Allegato B</w:t>
      </w:r>
      <w:r>
        <w:rPr>
          <w:rFonts w:cs="Calibri"/>
          <w:bCs/>
          <w:i w:val="false"/>
          <w:sz w:val="22"/>
          <w:szCs w:val="22"/>
          <w:lang w:eastAsia="en-US"/>
        </w:rPr>
        <w:t xml:space="preserve"> art. 21 bis);</w:t>
      </w:r>
    </w:p>
    <w:p>
      <w:pPr>
        <w:pStyle w:val="Normal"/>
        <w:numPr>
          <w:ilvl w:val="0"/>
          <w:numId w:val="1"/>
        </w:numPr>
        <w:spacing w:lineRule="auto" w:line="360" w:before="0" w:after="160"/>
        <w:ind w:left="357" w:hanging="357"/>
        <w:jc w:val="both"/>
        <w:rPr>
          <w:rFonts w:cs="Calibri"/>
          <w:bCs/>
          <w:i w:val="false"/>
          <w:i w:val="false"/>
          <w:sz w:val="22"/>
          <w:szCs w:val="22"/>
          <w:lang w:val="en-US" w:eastAsia="en-US"/>
        </w:rPr>
      </w:pPr>
      <w:r>
        <w:rPr>
          <w:rFonts w:cs="Calibri"/>
          <w:b/>
          <w:bCs/>
          <w:i w:val="false"/>
          <w:sz w:val="22"/>
          <w:szCs w:val="22"/>
          <w:lang w:val="en-US" w:eastAsia="en-US"/>
        </w:rPr>
        <w:t xml:space="preserve">Società cooperative </w:t>
      </w:r>
      <w:r>
        <w:rPr>
          <w:rFonts w:eastAsia="MS PGothic" w:cs="Times New Roman"/>
          <w:i w:val="false"/>
          <w:iCs/>
          <w:color w:val="000000"/>
          <w:kern w:val="2"/>
          <w:sz w:val="22"/>
          <w:szCs w:val="22"/>
          <w:lang w:val="en-US" w:eastAsia="en-US"/>
        </w:rPr>
        <w:t xml:space="preserve">(Allegato B art. 16; </w:t>
      </w:r>
      <w:r>
        <w:rPr>
          <w:rFonts w:cs="Calibri"/>
          <w:bCs/>
          <w:i w:val="false"/>
          <w:sz w:val="22"/>
          <w:szCs w:val="22"/>
          <w:lang w:val="en-US" w:eastAsia="en-US"/>
        </w:rPr>
        <w:t>L. n. 427/93 art. 66.6 bis);</w:t>
      </w:r>
    </w:p>
    <w:p>
      <w:pPr>
        <w:pStyle w:val="Normal"/>
        <w:numPr>
          <w:ilvl w:val="0"/>
          <w:numId w:val="1"/>
        </w:numPr>
        <w:spacing w:lineRule="auto" w:line="360" w:before="0" w:after="160"/>
        <w:ind w:left="357" w:hanging="357"/>
        <w:jc w:val="both"/>
        <w:rPr>
          <w:rFonts w:cs="Calibri"/>
          <w:bCs/>
          <w:i w:val="false"/>
          <w:i w:val="false"/>
          <w:sz w:val="22"/>
          <w:szCs w:val="22"/>
          <w:lang w:eastAsia="en-US"/>
        </w:rPr>
      </w:pPr>
      <w:r>
        <w:rPr>
          <w:rFonts w:cs="Calibri"/>
          <w:b/>
          <w:bCs/>
          <w:i w:val="false"/>
          <w:sz w:val="22"/>
          <w:szCs w:val="22"/>
          <w:lang w:eastAsia="en-US"/>
        </w:rPr>
        <w:t>Cooperative sociali</w:t>
      </w:r>
      <w:r>
        <w:rPr>
          <w:rFonts w:cs="Calibri"/>
          <w:bCs/>
          <w:i w:val="false"/>
          <w:sz w:val="22"/>
          <w:szCs w:val="22"/>
          <w:lang w:eastAsia="en-US"/>
        </w:rPr>
        <w:t xml:space="preserve"> (L. 266/1991 art. 8);</w:t>
      </w:r>
    </w:p>
    <w:p>
      <w:pPr>
        <w:pStyle w:val="Normal"/>
        <w:numPr>
          <w:ilvl w:val="0"/>
          <w:numId w:val="1"/>
        </w:numPr>
        <w:spacing w:lineRule="auto" w:line="360" w:before="0" w:after="160"/>
        <w:ind w:left="357" w:hanging="357"/>
        <w:jc w:val="both"/>
        <w:rPr>
          <w:rFonts w:eastAsia="Times New Roman" w:cs="Times New Roman"/>
          <w:i w:val="false"/>
          <w:i w:val="false"/>
          <w:color w:val="000000"/>
          <w:sz w:val="22"/>
          <w:szCs w:val="22"/>
        </w:rPr>
      </w:pPr>
      <w:r>
        <w:rPr>
          <w:rFonts w:cs="Calibri"/>
          <w:b/>
          <w:bCs/>
          <w:i w:val="false"/>
          <w:sz w:val="22"/>
          <w:szCs w:val="22"/>
          <w:lang w:eastAsia="en-US"/>
        </w:rPr>
        <w:t>ONLUS</w:t>
      </w:r>
      <w:r>
        <w:rPr>
          <w:rFonts w:eastAsia="MS PGothic" w:cs="Calibri"/>
          <w:b/>
          <w:bCs/>
          <w:i w:val="false"/>
          <w:iCs/>
          <w:color w:val="000000"/>
          <w:kern w:val="2"/>
          <w:sz w:val="22"/>
          <w:szCs w:val="22"/>
        </w:rPr>
        <w:t xml:space="preserve"> e federazioni sportive</w:t>
      </w:r>
      <w:r>
        <w:rPr>
          <w:rFonts w:eastAsia="MS PGothic" w:cs="Calibri"/>
          <w:b/>
          <w:bCs/>
          <w:i w:val="false"/>
          <w:color w:val="000000"/>
          <w:kern w:val="2"/>
          <w:sz w:val="22"/>
          <w:szCs w:val="22"/>
        </w:rPr>
        <w:t xml:space="preserve"> </w:t>
      </w:r>
      <w:r>
        <w:rPr>
          <w:rFonts w:eastAsia="MS PGothic" w:cs="Calibri"/>
          <w:i w:val="false"/>
          <w:color w:val="000000"/>
          <w:kern w:val="2"/>
          <w:sz w:val="22"/>
          <w:szCs w:val="22"/>
        </w:rPr>
        <w:t>(Allegato B art. 27 bis).</w:t>
      </w:r>
    </w:p>
    <w:p>
      <w:pPr>
        <w:pStyle w:val="Normal"/>
        <w:spacing w:lineRule="auto" w:line="259" w:before="0" w:after="160"/>
        <w:jc w:val="both"/>
        <w:rPr>
          <w:rFonts w:cs="Times New Roman"/>
          <w:i w:val="false"/>
          <w:i w:val="false"/>
          <w:sz w:val="22"/>
          <w:szCs w:val="22"/>
          <w:lang w:eastAsia="en-US"/>
        </w:rPr>
      </w:pPr>
      <w:r>
        <w:rPr>
          <w:rFonts w:cs="Times New Roman"/>
          <w:i w:val="false"/>
          <w:sz w:val="22"/>
          <w:szCs w:val="22"/>
          <w:lang w:eastAsia="en-US"/>
        </w:rPr>
      </w:r>
    </w:p>
    <w:p>
      <w:pPr>
        <w:pStyle w:val="Normal"/>
        <w:spacing w:lineRule="auto" w:line="259" w:before="0" w:after="160"/>
        <w:jc w:val="both"/>
        <w:rPr/>
      </w:pPr>
      <w:r>
        <w:rPr/>
      </w:r>
    </w:p>
    <w:sectPr>
      <w:headerReference w:type="default" r:id="rId5"/>
      <w:footerReference w:type="default" r:id="rId6"/>
      <w:footnotePr>
        <w:numFmt w:val="decimal"/>
      </w:footnotePr>
      <w:type w:val="nextPage"/>
      <w:pgSz w:w="11906" w:h="16838"/>
      <w:pgMar w:left="1134" w:right="1134" w:header="709" w:top="1418"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w Cen MT">
    <w:charset w:val="00"/>
    <w:family w:val="roman"/>
    <w:pitch w:val="variable"/>
  </w:font>
  <w:font w:name="Tw Cen MT">
    <w:altName w:val="Italic"/>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Arial">
    <w:charset w:val="00"/>
    <w:family w:val="roman"/>
    <w:pitch w:val="variable"/>
  </w:font>
  <w:font w:name="Liberation Sans">
    <w:altName w:val="Arial"/>
    <w:charset w:val="00"/>
    <w:family w:val="swiss"/>
    <w:pitch w:val="variable"/>
  </w:font>
  <w:font w:name="ITC Avant Garde Std Bk">
    <w:charset w:val="00"/>
    <w:family w:val="roman"/>
    <w:pitch w:val="variable"/>
  </w:font>
  <w:font w:name="Verdana">
    <w:charset w:val="00"/>
    <w:family w:val="roman"/>
    <w:pitch w:val="variable"/>
  </w:font>
  <w:font w:name="Century Gothic">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9251785"/>
    </w:sdtPr>
    <w:sdtContent>
      <w:p>
        <w:pPr>
          <w:pStyle w:val="Footer1"/>
          <w:jc w:val="center"/>
          <w:rPr/>
        </w:pPr>
        <w:r>
          <w:rPr>
            <w:rFonts w:ascii="Tw Cen MT" w:hAnsi="Tw Cen MT"/>
          </w:rPr>
          <w:fldChar w:fldCharType="begin"/>
        </w:r>
        <w:r>
          <w:rPr>
            <w:rFonts w:ascii="Tw Cen MT" w:hAnsi="Tw Cen MT"/>
          </w:rPr>
          <w:instrText> PAGE </w:instrText>
        </w:r>
        <w:r>
          <w:rPr>
            <w:rFonts w:ascii="Tw Cen MT" w:hAnsi="Tw Cen MT"/>
          </w:rPr>
          <w:fldChar w:fldCharType="separate"/>
        </w:r>
        <w:r>
          <w:rPr>
            <w:rFonts w:ascii="Tw Cen MT" w:hAnsi="Tw Cen MT"/>
          </w:rPr>
          <w:t>7</w:t>
        </w:r>
        <w:r>
          <w:rPr>
            <w:rFonts w:ascii="Tw Cen MT" w:hAnsi="Tw Cen MT"/>
          </w:rPr>
          <w:fldChar w:fldCharType="end"/>
        </w:r>
      </w:p>
    </w:sdtContent>
  </w:sdt>
  <w:p>
    <w:pPr>
      <w:pStyle w:val="Footer1"/>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FootnoteCharacters"/>
          <w:sz w:val="18"/>
        </w:rPr>
        <w:tab/>
      </w:r>
      <w:r>
        <w:rPr>
          <w:sz w:val="18"/>
        </w:rPr>
        <w:t xml:space="preserve"> </w:t>
      </w:r>
      <w:r>
        <w:rPr>
          <w:sz w:val="18"/>
        </w:rPr>
        <w:t>Conferenza delle Regioni e delle Province Autonome – Coordinamento tecnico interregionale aiuti di Stato</w:t>
      </w:r>
    </w:p>
  </w:footnote>
  <w:footnote w:id="3">
    <w:p>
      <w:pPr>
        <w:pStyle w:val="Notaapidipagina"/>
        <w:jc w:val="both"/>
        <w:rPr/>
      </w:pPr>
      <w:r>
        <w:rPr>
          <w:rStyle w:val="Caratterinotaapidipagina"/>
        </w:rPr>
        <w:footnoteRef/>
      </w:r>
      <w:r>
        <w:rPr>
          <w:rStyle w:val="FootnoteCharacters"/>
        </w:rPr>
        <w:tab/>
      </w:r>
      <w:r>
        <w:rPr/>
        <w:t xml:space="preserve"> </w:t>
      </w:r>
      <w:r>
        <w:rPr/>
        <w:t>2. Se un’impresa operante nel settore della produzione primaria di prodotti agricoli opera anche in uno o più dei settori o svolge anche altre attività che rientrano nel campo di applicazione del regolamento (UE) n. 1407/2013, agli aiuti concessi in relazione a questi ultimi settori e attività si applica il suddetto regolamento, a condizione che lo Stato membro interessato garantisca, con mezzi adeguati quali la separazione delle attività o la distinzione dei costi, che la produzione primaria di prodotti agricoli non beneficia di aiuti «de minimis» concessi a norma dello stesso regolamento.</w:t>
      </w:r>
    </w:p>
    <w:p>
      <w:pPr>
        <w:pStyle w:val="Notaapidipagina"/>
        <w:jc w:val="both"/>
        <w:rPr/>
      </w:pPr>
      <w:r>
        <w:rPr/>
        <w:tab/>
        <w:t>3. Se un’impresa operante nel settore della produzione primaria di prodotti agricoli opera anche nel settore della pesca e dell’acquacoltura, agli aiuti concessi in relazione a quest’ultimo settore si applicano le disposizioni del regolamento (UE) n. 717/2013, a condizione che lo Stato membro interessato garantisca, con mezzi adeguati quali la separazione delle attività o la distinzione dei costi, che la produzione primaria di prodotti agricoli non beneficia di aiuti «de minimis» concessi in conformità dello stesso regolamento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2"/>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96"/>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76ba"/>
    <w:pPr>
      <w:widowControl/>
      <w:bidi w:val="0"/>
      <w:jc w:val="left"/>
    </w:pPr>
    <w:rPr>
      <w:rFonts w:ascii="Tw Cen MT" w:hAnsi="Tw Cen MT" w:cs="Tw Cen MT" w:eastAsia="Calibri"/>
      <w:i/>
      <w:color w:val="auto"/>
      <w:kern w:val="0"/>
      <w:sz w:val="24"/>
      <w:szCs w:val="24"/>
      <w:lang w:val="it-IT" w:eastAsia="it-IT" w:bidi="ar-SA"/>
    </w:rPr>
  </w:style>
  <w:style w:type="paragraph" w:styleId="Titolo1">
    <w:name w:val="Heading 1"/>
    <w:basedOn w:val="Normal"/>
    <w:link w:val="Titolo1Carattere"/>
    <w:uiPriority w:val="9"/>
    <w:qFormat/>
    <w:rsid w:val="00ce41fb"/>
    <w:pPr>
      <w:keepNext w:val="true"/>
      <w:keepLines/>
      <w:spacing w:before="240" w:after="0"/>
      <w:outlineLvl w:val="0"/>
    </w:pPr>
    <w:rPr>
      <w:rFonts w:eastAsia="" w:cs="Tw Cen MT,Italic" w:eastAsiaTheme="majorEastAsia"/>
      <w:b/>
      <w:i w:val="false"/>
      <w:iCs/>
      <w:color w:val="000000" w:themeColor="text1"/>
      <w:sz w:val="28"/>
      <w:szCs w:val="32"/>
    </w:rPr>
  </w:style>
  <w:style w:type="paragraph" w:styleId="Titolo2">
    <w:name w:val="Heading 2"/>
    <w:basedOn w:val="Normal"/>
    <w:link w:val="Titolo2Carattere"/>
    <w:uiPriority w:val="9"/>
    <w:unhideWhenUsed/>
    <w:qFormat/>
    <w:rsid w:val="00c0295e"/>
    <w:pPr>
      <w:outlineLvl w:val="1"/>
    </w:pPr>
    <w:rPr>
      <w:rFonts w:ascii="Tw Cen MT,Italic" w:hAnsi="Tw Cen MT,Italic" w:cs="Tw Cen MT,Italic"/>
      <w:i w:val="false"/>
      <w:iCs/>
    </w:rPr>
  </w:style>
  <w:style w:type="paragraph" w:styleId="Titolo3">
    <w:name w:val="Heading 3"/>
    <w:basedOn w:val="Normal"/>
    <w:link w:val="Titolo3Carattere"/>
    <w:uiPriority w:val="1"/>
    <w:qFormat/>
    <w:rsid w:val="00e470bb"/>
    <w:pPr>
      <w:widowControl w:val="false"/>
      <w:ind w:left="1604" w:hanging="0"/>
      <w:jc w:val="center"/>
      <w:outlineLvl w:val="2"/>
    </w:pPr>
    <w:rPr>
      <w:rFonts w:eastAsia="Tw Cen MT"/>
      <w:b/>
      <w:bCs/>
      <w:i w:val="false"/>
      <w:sz w:val="32"/>
      <w:szCs w:val="32"/>
      <w:lang w:val="en-US" w:eastAsia="en-US"/>
    </w:rPr>
  </w:style>
  <w:style w:type="paragraph" w:styleId="Titolo4">
    <w:name w:val="Heading 4"/>
    <w:basedOn w:val="Normal"/>
    <w:link w:val="Titolo4Carattere"/>
    <w:uiPriority w:val="1"/>
    <w:unhideWhenUsed/>
    <w:qFormat/>
    <w:rsid w:val="00e470bb"/>
    <w:pPr>
      <w:keepNext w:val="true"/>
      <w:keepLines/>
      <w:spacing w:before="40" w:after="0"/>
      <w:outlineLvl w:val="3"/>
    </w:pPr>
    <w:rPr>
      <w:rFonts w:ascii="Calibri Light" w:hAnsi="Calibri Light" w:eastAsia="" w:cs="" w:asciiTheme="majorHAnsi" w:cstheme="majorBidi" w:eastAsiaTheme="majorEastAsia" w:hAnsiTheme="majorHAnsi"/>
      <w:i w:val="false"/>
      <w:iCs/>
      <w:color w:val="2E74B5" w:themeColor="accent1" w:themeShade="bf"/>
    </w:rPr>
  </w:style>
  <w:style w:type="paragraph" w:styleId="Titolo5">
    <w:name w:val="Heading 5"/>
    <w:basedOn w:val="Normal"/>
    <w:link w:val="Titolo5Carattere"/>
    <w:uiPriority w:val="1"/>
    <w:unhideWhenUsed/>
    <w:qFormat/>
    <w:rsid w:val="00e470bb"/>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olo6">
    <w:name w:val="Heading 6"/>
    <w:basedOn w:val="Normal"/>
    <w:link w:val="Titolo6Carattere"/>
    <w:uiPriority w:val="1"/>
    <w:qFormat/>
    <w:rsid w:val="00e470bb"/>
    <w:pPr>
      <w:widowControl w:val="false"/>
      <w:spacing w:before="84" w:after="0"/>
      <w:ind w:left="872" w:hanging="0"/>
      <w:outlineLvl w:val="5"/>
    </w:pPr>
    <w:rPr>
      <w:rFonts w:eastAsia="Tw Cen MT"/>
      <w:b/>
      <w:bCs/>
      <w:i w:val="false"/>
      <w:lang w:val="en-US" w:eastAsia="en-US"/>
    </w:rPr>
  </w:style>
  <w:style w:type="paragraph" w:styleId="Titolo7">
    <w:name w:val="Heading 7"/>
    <w:basedOn w:val="Normal"/>
    <w:link w:val="Titolo7Carattere"/>
    <w:uiPriority w:val="1"/>
    <w:unhideWhenUsed/>
    <w:qFormat/>
    <w:rsid w:val="00e470bb"/>
    <w:pPr>
      <w:keepNext w:val="true"/>
      <w:keepLines/>
      <w:spacing w:before="40" w:after="0"/>
      <w:outlineLvl w:val="6"/>
    </w:pPr>
    <w:rPr>
      <w:rFonts w:ascii="Calibri Light" w:hAnsi="Calibri Light" w:eastAsia="" w:cs="" w:asciiTheme="majorHAnsi" w:cstheme="majorBidi" w:eastAsiaTheme="majorEastAsia" w:hAnsiTheme="majorHAnsi"/>
      <w:i w:val="false"/>
      <w:iCs/>
      <w:color w:val="1F4D78" w:themeColor="accent1" w:themeShade="7f"/>
    </w:rPr>
  </w:style>
  <w:style w:type="paragraph" w:styleId="Titolo8">
    <w:name w:val="Heading 8"/>
    <w:basedOn w:val="Normal"/>
    <w:link w:val="Titolo8Carattere"/>
    <w:uiPriority w:val="1"/>
    <w:unhideWhenUsed/>
    <w:qFormat/>
    <w:rsid w:val="00e470bb"/>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link w:val="Titolo9Carattere"/>
    <w:uiPriority w:val="1"/>
    <w:unhideWhenUsed/>
    <w:qFormat/>
    <w:rsid w:val="00e470bb"/>
    <w:pPr>
      <w:keepNext w:val="true"/>
      <w:keepLines/>
      <w:spacing w:before="40" w:after="0"/>
      <w:outlineLvl w:val="8"/>
    </w:pPr>
    <w:rPr>
      <w:rFonts w:ascii="Calibri Light" w:hAnsi="Calibri Light" w:eastAsia="" w:cs="" w:asciiTheme="majorHAnsi" w:cstheme="majorBidi" w:eastAsiaTheme="majorEastAsia" w:hAnsiTheme="majorHAnsi"/>
      <w:i w:val="false"/>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e41fb"/>
    <w:rPr>
      <w:rFonts w:ascii="Calibri" w:hAnsi="Calibri" w:eastAsia="" w:cs="Tw Cen MT,Italic" w:asciiTheme="minorHAnsi" w:eastAsiaTheme="majorEastAsia" w:hAnsiTheme="minorHAnsi"/>
      <w:b/>
      <w:iCs/>
      <w:color w:val="000000" w:themeColor="text1"/>
      <w:sz w:val="28"/>
      <w:szCs w:val="32"/>
    </w:rPr>
  </w:style>
  <w:style w:type="character" w:styleId="A6" w:customStyle="1">
    <w:name w:val="A6"/>
    <w:uiPriority w:val="99"/>
    <w:qFormat/>
    <w:rsid w:val="003d6408"/>
    <w:rPr>
      <w:rFonts w:cs="ITC Avant Garde Std Bk"/>
      <w:color w:val="000000"/>
      <w:sz w:val="15"/>
      <w:szCs w:val="15"/>
    </w:rPr>
  </w:style>
  <w:style w:type="character" w:styleId="TestonotaapidipaginaCarattere" w:customStyle="1">
    <w:name w:val="Testo nota a piè di pagina Carattere"/>
    <w:basedOn w:val="DefaultParagraphFont"/>
    <w:link w:val="Testonotaapidipagina"/>
    <w:uiPriority w:val="99"/>
    <w:qFormat/>
    <w:rsid w:val="00ce41fb"/>
    <w:rPr>
      <w:rFonts w:ascii="Calibri" w:hAnsi="Calibri" w:cs="Tw Cen MT" w:asciiTheme="minorHAnsi" w:hAnsiTheme="minorHAnsi"/>
      <w:i/>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ce41fb"/>
    <w:rPr>
      <w:vertAlign w:val="superscript"/>
    </w:rPr>
  </w:style>
  <w:style w:type="character" w:styleId="Titolo2Carattere" w:customStyle="1">
    <w:name w:val="Titolo 2 Carattere"/>
    <w:basedOn w:val="DefaultParagraphFont"/>
    <w:link w:val="Titolo2"/>
    <w:uiPriority w:val="9"/>
    <w:qFormat/>
    <w:rsid w:val="00c0295e"/>
    <w:rPr>
      <w:rFonts w:ascii="Tw Cen MT,Italic" w:hAnsi="Tw Cen MT,Italic" w:cs="Tw Cen MT,Italic"/>
      <w:iCs/>
      <w:sz w:val="24"/>
      <w:szCs w:val="24"/>
    </w:rPr>
  </w:style>
  <w:style w:type="character" w:styleId="TestonotadichiusuraCarattere" w:customStyle="1">
    <w:name w:val="Testo nota di chiusura Carattere"/>
    <w:basedOn w:val="DefaultParagraphFont"/>
    <w:link w:val="Testonotadichiusura"/>
    <w:uiPriority w:val="99"/>
    <w:semiHidden/>
    <w:qFormat/>
    <w:rsid w:val="00f61ee1"/>
    <w:rPr>
      <w:rFonts w:ascii="Calibri" w:hAnsi="Calibri" w:cs="Tw Cen MT" w:asciiTheme="minorHAnsi" w:hAnsiTheme="minorHAnsi"/>
      <w:i/>
    </w:rPr>
  </w:style>
  <w:style w:type="character" w:styleId="Richiamoallanotadichiusura">
    <w:name w:val="Richiamo alla nota di chiusura"/>
    <w:rPr>
      <w:vertAlign w:val="superscript"/>
    </w:rPr>
  </w:style>
  <w:style w:type="character" w:styleId="EndnoteCharacters">
    <w:name w:val="Endnote Characters"/>
    <w:basedOn w:val="DefaultParagraphFont"/>
    <w:uiPriority w:val="99"/>
    <w:semiHidden/>
    <w:unhideWhenUsed/>
    <w:qFormat/>
    <w:rsid w:val="00f61ee1"/>
    <w:rPr>
      <w:vertAlign w:val="superscript"/>
    </w:rPr>
  </w:style>
  <w:style w:type="character" w:styleId="Titolo4Carattere" w:customStyle="1">
    <w:name w:val="Titolo 4 Carattere"/>
    <w:basedOn w:val="DefaultParagraphFont"/>
    <w:link w:val="Titolo4"/>
    <w:uiPriority w:val="9"/>
    <w:semiHidden/>
    <w:qFormat/>
    <w:rsid w:val="00e470bb"/>
    <w:rPr>
      <w:rFonts w:ascii="Calibri Light" w:hAnsi="Calibri Light" w:eastAsia="" w:cs="" w:asciiTheme="majorHAnsi" w:cstheme="majorBidi" w:eastAsiaTheme="majorEastAsia" w:hAnsiTheme="majorHAnsi"/>
      <w:iCs/>
      <w:color w:val="2E74B5" w:themeColor="accent1" w:themeShade="bf"/>
      <w:sz w:val="24"/>
      <w:szCs w:val="24"/>
    </w:rPr>
  </w:style>
  <w:style w:type="character" w:styleId="Titolo5Carattere" w:customStyle="1">
    <w:name w:val="Titolo 5 Carattere"/>
    <w:basedOn w:val="DefaultParagraphFont"/>
    <w:link w:val="Titolo5"/>
    <w:uiPriority w:val="9"/>
    <w:semiHidden/>
    <w:qFormat/>
    <w:rsid w:val="00e470bb"/>
    <w:rPr>
      <w:rFonts w:ascii="Calibri Light" w:hAnsi="Calibri Light" w:eastAsia="" w:cs="" w:asciiTheme="majorHAnsi" w:cstheme="majorBidi" w:eastAsiaTheme="majorEastAsia" w:hAnsiTheme="majorHAnsi"/>
      <w:i/>
      <w:color w:val="2E74B5" w:themeColor="accent1" w:themeShade="bf"/>
      <w:sz w:val="24"/>
      <w:szCs w:val="24"/>
    </w:rPr>
  </w:style>
  <w:style w:type="character" w:styleId="Titolo7Carattere" w:customStyle="1">
    <w:name w:val="Titolo 7 Carattere"/>
    <w:basedOn w:val="DefaultParagraphFont"/>
    <w:link w:val="Titolo7"/>
    <w:uiPriority w:val="9"/>
    <w:semiHidden/>
    <w:qFormat/>
    <w:rsid w:val="00e470bb"/>
    <w:rPr>
      <w:rFonts w:ascii="Calibri Light" w:hAnsi="Calibri Light" w:eastAsia="" w:cs="" w:asciiTheme="majorHAnsi" w:cstheme="majorBidi" w:eastAsiaTheme="majorEastAsia" w:hAnsiTheme="majorHAnsi"/>
      <w:iCs/>
      <w:color w:val="1F4D78" w:themeColor="accent1" w:themeShade="7f"/>
      <w:sz w:val="24"/>
      <w:szCs w:val="24"/>
    </w:rPr>
  </w:style>
  <w:style w:type="character" w:styleId="Titolo8Carattere" w:customStyle="1">
    <w:name w:val="Titolo 8 Carattere"/>
    <w:basedOn w:val="DefaultParagraphFont"/>
    <w:link w:val="Titolo8"/>
    <w:uiPriority w:val="9"/>
    <w:semiHidden/>
    <w:qFormat/>
    <w:rsid w:val="00e470bb"/>
    <w:rPr>
      <w:rFonts w:ascii="Calibri Light" w:hAnsi="Calibri Light" w:eastAsia="" w:cs="" w:asciiTheme="majorHAnsi" w:cstheme="majorBidi" w:eastAsiaTheme="majorEastAsia" w:hAnsiTheme="majorHAnsi"/>
      <w:i/>
      <w:color w:val="272727" w:themeColor="text1" w:themeTint="d8"/>
      <w:sz w:val="21"/>
      <w:szCs w:val="21"/>
    </w:rPr>
  </w:style>
  <w:style w:type="character" w:styleId="Titolo9Carattere" w:customStyle="1">
    <w:name w:val="Titolo 9 Carattere"/>
    <w:basedOn w:val="DefaultParagraphFont"/>
    <w:link w:val="Titolo9"/>
    <w:uiPriority w:val="9"/>
    <w:semiHidden/>
    <w:qFormat/>
    <w:rsid w:val="00e470bb"/>
    <w:rPr>
      <w:rFonts w:ascii="Calibri Light" w:hAnsi="Calibri Light" w:eastAsia="" w:cs="" w:asciiTheme="majorHAnsi" w:cstheme="majorBidi" w:eastAsiaTheme="majorEastAsia" w:hAnsiTheme="majorHAnsi"/>
      <w:iCs/>
      <w:color w:val="272727" w:themeColor="text1" w:themeTint="d8"/>
      <w:sz w:val="21"/>
      <w:szCs w:val="21"/>
    </w:rPr>
  </w:style>
  <w:style w:type="character" w:styleId="Titolo3Carattere" w:customStyle="1">
    <w:name w:val="Titolo 3 Carattere"/>
    <w:basedOn w:val="DefaultParagraphFont"/>
    <w:link w:val="Titolo3"/>
    <w:uiPriority w:val="1"/>
    <w:qFormat/>
    <w:rsid w:val="00e470bb"/>
    <w:rPr>
      <w:rFonts w:ascii="Tw Cen MT" w:hAnsi="Tw Cen MT" w:eastAsia="Tw Cen MT" w:cs="Tw Cen MT"/>
      <w:b/>
      <w:bCs/>
      <w:sz w:val="32"/>
      <w:szCs w:val="32"/>
      <w:lang w:val="en-US" w:eastAsia="en-US"/>
    </w:rPr>
  </w:style>
  <w:style w:type="character" w:styleId="Titolo6Carattere" w:customStyle="1">
    <w:name w:val="Titolo 6 Carattere"/>
    <w:basedOn w:val="DefaultParagraphFont"/>
    <w:link w:val="Titolo6"/>
    <w:uiPriority w:val="1"/>
    <w:qFormat/>
    <w:rsid w:val="00e470bb"/>
    <w:rPr>
      <w:rFonts w:ascii="Tw Cen MT" w:hAnsi="Tw Cen MT" w:eastAsia="Tw Cen MT" w:cs="Tw Cen MT"/>
      <w:b/>
      <w:bCs/>
      <w:sz w:val="24"/>
      <w:szCs w:val="24"/>
      <w:lang w:val="en-US" w:eastAsia="en-US"/>
    </w:rPr>
  </w:style>
  <w:style w:type="character" w:styleId="CorpotestoCarattere" w:customStyle="1">
    <w:name w:val="Corpo testo Carattere"/>
    <w:basedOn w:val="DefaultParagraphFont"/>
    <w:link w:val="Corpotesto"/>
    <w:uiPriority w:val="99"/>
    <w:qFormat/>
    <w:rsid w:val="00e470bb"/>
    <w:rPr>
      <w:rFonts w:ascii="Tw Cen MT" w:hAnsi="Tw Cen MT" w:eastAsia="Tw Cen MT" w:cs="Tw Cen MT"/>
      <w:sz w:val="22"/>
      <w:szCs w:val="22"/>
      <w:lang w:val="en-US" w:eastAsia="en-US"/>
    </w:rPr>
  </w:style>
  <w:style w:type="character" w:styleId="Hyperlink1" w:customStyle="1">
    <w:name w:val="Hyperlink1"/>
    <w:basedOn w:val="DefaultParagraphFont"/>
    <w:uiPriority w:val="99"/>
    <w:unhideWhenUsed/>
    <w:qFormat/>
    <w:rsid w:val="00cd4ad5"/>
    <w:rPr>
      <w:color w:val="0563C1"/>
      <w:u w:val="single"/>
    </w:rPr>
  </w:style>
  <w:style w:type="character" w:styleId="TestofumettoCarattere" w:customStyle="1">
    <w:name w:val="Testo fumetto Carattere"/>
    <w:basedOn w:val="DefaultParagraphFont"/>
    <w:link w:val="Testofumetto"/>
    <w:uiPriority w:val="99"/>
    <w:semiHidden/>
    <w:qFormat/>
    <w:rsid w:val="00cd4ad5"/>
    <w:rPr>
      <w:rFonts w:ascii="Segoe UI" w:hAnsi="Segoe UI" w:cs="Segoe UI"/>
      <w:sz w:val="18"/>
      <w:szCs w:val="18"/>
      <w:lang w:eastAsia="en-US"/>
    </w:rPr>
  </w:style>
  <w:style w:type="character" w:styleId="HeaderChar" w:customStyle="1">
    <w:name w:val="Header Char"/>
    <w:basedOn w:val="DefaultParagraphFont"/>
    <w:link w:val="Header1"/>
    <w:uiPriority w:val="99"/>
    <w:qFormat/>
    <w:rsid w:val="00cd4ad5"/>
    <w:rPr/>
  </w:style>
  <w:style w:type="character" w:styleId="FooterChar" w:customStyle="1">
    <w:name w:val="Footer Char"/>
    <w:basedOn w:val="DefaultParagraphFont"/>
    <w:link w:val="Footer1"/>
    <w:uiPriority w:val="99"/>
    <w:qFormat/>
    <w:rsid w:val="00cd4ad5"/>
    <w:rPr/>
  </w:style>
  <w:style w:type="character" w:styleId="TestonormaleCarattere" w:customStyle="1">
    <w:name w:val="Testo normale Carattere"/>
    <w:basedOn w:val="DefaultParagraphFont"/>
    <w:link w:val="Testonormale"/>
    <w:uiPriority w:val="99"/>
    <w:qFormat/>
    <w:rsid w:val="00cd4ad5"/>
    <w:rPr>
      <w:rFonts w:ascii="Consolas" w:hAnsi="Consolas"/>
      <w:sz w:val="21"/>
      <w:szCs w:val="21"/>
      <w:lang w:eastAsia="en-US"/>
    </w:rPr>
  </w:style>
  <w:style w:type="character" w:styleId="Corpodeltesto2Carattere" w:customStyle="1">
    <w:name w:val="Corpo del testo 2 Carattere"/>
    <w:basedOn w:val="DefaultParagraphFont"/>
    <w:link w:val="Corpodeltesto2"/>
    <w:qFormat/>
    <w:rsid w:val="00cd4ad5"/>
    <w:rPr>
      <w:rFonts w:ascii="Arial" w:hAnsi="Arial" w:eastAsia="Times New Roman" w:cs="Arial"/>
      <w:color w:val="000000"/>
      <w:sz w:val="24"/>
      <w:szCs w:val="24"/>
    </w:rPr>
  </w:style>
  <w:style w:type="character" w:styleId="Enfasi">
    <w:name w:val="Enfasi"/>
    <w:uiPriority w:val="99"/>
    <w:qFormat/>
    <w:rsid w:val="00cd4ad5"/>
    <w:rPr>
      <w:i/>
      <w:iCs/>
    </w:rPr>
  </w:style>
  <w:style w:type="character" w:styleId="Annotationreference">
    <w:name w:val="annotation reference"/>
    <w:basedOn w:val="DefaultParagraphFont"/>
    <w:uiPriority w:val="99"/>
    <w:semiHidden/>
    <w:unhideWhenUsed/>
    <w:qFormat/>
    <w:rsid w:val="00cd4ad5"/>
    <w:rPr>
      <w:sz w:val="16"/>
      <w:szCs w:val="16"/>
    </w:rPr>
  </w:style>
  <w:style w:type="character" w:styleId="CommentTextChar" w:customStyle="1">
    <w:name w:val="Comment Text Char"/>
    <w:basedOn w:val="DefaultParagraphFont"/>
    <w:link w:val="CommentText1"/>
    <w:uiPriority w:val="99"/>
    <w:semiHidden/>
    <w:qFormat/>
    <w:rsid w:val="00cd4ad5"/>
    <w:rPr>
      <w:sz w:val="20"/>
      <w:szCs w:val="20"/>
    </w:rPr>
  </w:style>
  <w:style w:type="character" w:styleId="TestocommentoCarattere" w:customStyle="1">
    <w:name w:val="Testo commento Carattere"/>
    <w:basedOn w:val="DefaultParagraphFont"/>
    <w:link w:val="Testocommento"/>
    <w:uiPriority w:val="99"/>
    <w:semiHidden/>
    <w:qFormat/>
    <w:rsid w:val="00cd4ad5"/>
    <w:rPr>
      <w:rFonts w:ascii="Tw Cen MT" w:hAnsi="Tw Cen MT" w:cs="Tw Cen MT"/>
      <w:i/>
    </w:rPr>
  </w:style>
  <w:style w:type="character" w:styleId="SoggettocommentoCarattere" w:customStyle="1">
    <w:name w:val="Soggetto commento Carattere"/>
    <w:basedOn w:val="TestocommentoCarattere"/>
    <w:link w:val="Soggettocommento"/>
    <w:uiPriority w:val="99"/>
    <w:semiHidden/>
    <w:qFormat/>
    <w:rsid w:val="00cd4ad5"/>
    <w:rPr>
      <w:rFonts w:ascii="Tw Cen MT" w:hAnsi="Tw Cen MT" w:cs="Tw Cen MT"/>
      <w:b/>
      <w:bCs/>
      <w:i w:val="false"/>
      <w:lang w:eastAsia="en-US"/>
    </w:rPr>
  </w:style>
  <w:style w:type="character" w:styleId="FollowedHyperlink1" w:customStyle="1">
    <w:name w:val="FollowedHyperlink1"/>
    <w:basedOn w:val="DefaultParagraphFont"/>
    <w:uiPriority w:val="99"/>
    <w:semiHidden/>
    <w:unhideWhenUsed/>
    <w:qFormat/>
    <w:rsid w:val="00cd4ad5"/>
    <w:rPr>
      <w:color w:val="954F72"/>
      <w:u w:val="single"/>
    </w:rPr>
  </w:style>
  <w:style w:type="character" w:styleId="CollegamentoInternet">
    <w:name w:val="Collegamento Internet"/>
    <w:basedOn w:val="DefaultParagraphFont"/>
    <w:uiPriority w:val="99"/>
    <w:unhideWhenUsed/>
    <w:rsid w:val="00cd4ad5"/>
    <w:rPr>
      <w:color w:val="0563C1" w:themeColor="hyperlink"/>
      <w:u w:val="single"/>
    </w:rPr>
  </w:style>
  <w:style w:type="character" w:styleId="IntestazioneCarattere" w:customStyle="1">
    <w:name w:val="Intestazione Carattere"/>
    <w:basedOn w:val="DefaultParagraphFont"/>
    <w:link w:val="Intestazione"/>
    <w:uiPriority w:val="99"/>
    <w:qFormat/>
    <w:rsid w:val="00cd4ad5"/>
    <w:rPr>
      <w:rFonts w:ascii="Tw Cen MT" w:hAnsi="Tw Cen MT" w:cs="Tw Cen MT"/>
      <w:i/>
      <w:sz w:val="24"/>
      <w:szCs w:val="24"/>
    </w:rPr>
  </w:style>
  <w:style w:type="character" w:styleId="PidipaginaCarattere" w:customStyle="1">
    <w:name w:val="Piè di pagina Carattere"/>
    <w:basedOn w:val="DefaultParagraphFont"/>
    <w:link w:val="Pidipagina"/>
    <w:uiPriority w:val="99"/>
    <w:qFormat/>
    <w:rsid w:val="00cd4ad5"/>
    <w:rPr>
      <w:rFonts w:ascii="Tw Cen MT" w:hAnsi="Tw Cen MT" w:cs="Tw Cen MT"/>
      <w:i/>
      <w:sz w:val="24"/>
      <w:szCs w:val="24"/>
    </w:rPr>
  </w:style>
  <w:style w:type="character" w:styleId="FollowedHyperlink">
    <w:name w:val="FollowedHyperlink"/>
    <w:basedOn w:val="DefaultParagraphFont"/>
    <w:uiPriority w:val="99"/>
    <w:semiHidden/>
    <w:unhideWhenUsed/>
    <w:qFormat/>
    <w:rsid w:val="00cd4ad5"/>
    <w:rPr>
      <w:color w:val="954F72" w:themeColor="followedHyperlink"/>
      <w:u w:val="single"/>
    </w:rPr>
  </w:style>
  <w:style w:type="character" w:styleId="Corpodeltesto3Carattere" w:customStyle="1">
    <w:name w:val="Corpo del testo 3 Carattere"/>
    <w:basedOn w:val="DefaultParagraphFont"/>
    <w:link w:val="Corpodeltesto3"/>
    <w:uiPriority w:val="99"/>
    <w:semiHidden/>
    <w:qFormat/>
    <w:rsid w:val="00de584e"/>
    <w:rPr>
      <w:rFonts w:ascii="Tw Cen MT" w:hAnsi="Tw Cen MT" w:cs="Tw Cen MT"/>
      <w:i/>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strike w:val="false"/>
      <w:dstrike w:val="false"/>
    </w:rPr>
  </w:style>
  <w:style w:type="character" w:styleId="ListLabel5">
    <w:name w:val="ListLabel 5"/>
    <w:qFormat/>
    <w:rPr>
      <w:rFonts w:cs="Times New Roman"/>
      <w:strike w:val="false"/>
      <w:dstrike w:val="fals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Garamond"/>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Garamond"/>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Garamond"/>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mbria" w:cs="Arial"/>
      <w:color w:val="auto"/>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auto"/>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strike w:val="false"/>
      <w:dstrike w:val="false"/>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Calibri" w:cs="Arial"/>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rPr>
  </w:style>
  <w:style w:type="character" w:styleId="ListLabel59">
    <w:name w:val="ListLabel 59"/>
    <w:qFormat/>
    <w:rPr>
      <w:rFonts w:eastAsia="Times New Roman"/>
    </w:rPr>
  </w:style>
  <w:style w:type="character" w:styleId="ListLabel60">
    <w:name w:val="ListLabel 60"/>
    <w:qFormat/>
    <w:rPr>
      <w:rFonts w:eastAsia="Times New Roman"/>
    </w:rPr>
  </w:style>
  <w:style w:type="character" w:styleId="ListLabel61">
    <w:name w:val="ListLabel 61"/>
    <w:qFormat/>
    <w:rPr>
      <w:rFonts w:cs="Times New Roman"/>
      <w:b/>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eastAsia="Times New Roman"/>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ahoma"/>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eastAsia="Times New Roman" w:cs="Times New Roman"/>
      <w:b/>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b w:val="false"/>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b/>
      <w:color w:val="auto"/>
    </w:rPr>
  </w:style>
  <w:style w:type="character" w:styleId="ListLabel195">
    <w:name w:val="ListLabel 195"/>
    <w:qFormat/>
    <w:rPr>
      <w:b/>
    </w:rPr>
  </w:style>
  <w:style w:type="character" w:styleId="ListLabel196">
    <w:name w:val="ListLabel 196"/>
    <w:qFormat/>
    <w:rPr>
      <w:b/>
      <w:color w:val="auto"/>
      <w:sz w:val="22"/>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eastAsia="Cambria" w:cs="Arial"/>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eastAsia="Cambria" w:cs="Arial"/>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color w:val="auto"/>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color w:val="auto"/>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eastAsia="Arial" w:cs="Arial"/>
      <w:b w:val="false"/>
      <w:i w:val="false"/>
      <w:strike w:val="false"/>
      <w:dstrike w:val="false"/>
      <w:color w:val="000000"/>
      <w:position w:val="0"/>
      <w:sz w:val="16"/>
      <w:sz w:val="16"/>
      <w:szCs w:val="16"/>
      <w:u w:val="none" w:color="000000"/>
      <w:vertAlign w:val="baseline"/>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eastAsia="Arial" w:cs="Arial"/>
      <w:b w:val="false"/>
      <w:i w:val="false"/>
      <w:strike w:val="false"/>
      <w:dstrike w:val="false"/>
      <w:color w:val="000000"/>
      <w:position w:val="0"/>
      <w:sz w:val="16"/>
      <w:sz w:val="16"/>
      <w:szCs w:val="16"/>
      <w:u w:val="none" w:color="000000"/>
      <w:vertAlign w:val="baseline"/>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eastAsia="Times New Roman" w:cs="Times New Roman"/>
      <w:i w:val="false"/>
      <w:color w:val="186975"/>
      <w:sz w:val="22"/>
      <w:szCs w:val="22"/>
      <w:u w:val="single"/>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qFormat/>
    <w:rsid w:val="00e470bb"/>
    <w:pPr>
      <w:widowControl w:val="false"/>
    </w:pPr>
    <w:rPr>
      <w:rFonts w:eastAsia="Tw Cen MT"/>
      <w:i w:val="false"/>
      <w:sz w:val="22"/>
      <w:szCs w:val="22"/>
      <w:lang w:val="en-US"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ce41fb"/>
    <w:pPr>
      <w:spacing w:before="0" w:after="0"/>
      <w:contextualSpacing/>
    </w:pPr>
    <w:rPr/>
  </w:style>
  <w:style w:type="paragraph" w:styleId="Notaapidipagina">
    <w:name w:val="Footnote Text"/>
    <w:basedOn w:val="Normal"/>
    <w:link w:val="TestonotaapidipaginaCarattere"/>
    <w:uiPriority w:val="99"/>
    <w:unhideWhenUsed/>
    <w:rsid w:val="00ce41fb"/>
    <w:pPr/>
    <w:rPr>
      <w:sz w:val="20"/>
      <w:szCs w:val="20"/>
    </w:rPr>
  </w:style>
  <w:style w:type="paragraph" w:styleId="Notadichiusura">
    <w:name w:val="Endnote Text"/>
    <w:basedOn w:val="Normal"/>
    <w:link w:val="TestonotadichiusuraCarattere"/>
    <w:uiPriority w:val="99"/>
    <w:semiHidden/>
    <w:unhideWhenUsed/>
    <w:rsid w:val="00f61ee1"/>
    <w:pPr/>
    <w:rPr>
      <w:sz w:val="20"/>
      <w:szCs w:val="20"/>
    </w:rPr>
  </w:style>
  <w:style w:type="paragraph" w:styleId="Indice1">
    <w:name w:val="TOC 1"/>
    <w:basedOn w:val="Normal"/>
    <w:uiPriority w:val="39"/>
    <w:qFormat/>
    <w:rsid w:val="00e470bb"/>
    <w:pPr>
      <w:widowControl w:val="false"/>
      <w:spacing w:before="255" w:after="0"/>
      <w:ind w:left="332" w:hanging="0"/>
    </w:pPr>
    <w:rPr>
      <w:rFonts w:eastAsia="Tw Cen MT"/>
      <w:b/>
      <w:bCs/>
      <w:i w:val="false"/>
      <w:sz w:val="22"/>
      <w:szCs w:val="22"/>
      <w:lang w:val="en-US" w:eastAsia="en-US"/>
    </w:rPr>
  </w:style>
  <w:style w:type="paragraph" w:styleId="Indice2">
    <w:name w:val="TOC 2"/>
    <w:basedOn w:val="Normal"/>
    <w:uiPriority w:val="39"/>
    <w:qFormat/>
    <w:rsid w:val="00e470bb"/>
    <w:pPr>
      <w:widowControl w:val="false"/>
      <w:spacing w:before="161" w:after="0"/>
      <w:ind w:left="554" w:hanging="0"/>
    </w:pPr>
    <w:rPr>
      <w:rFonts w:eastAsia="Tw Cen MT"/>
      <w:i w:val="false"/>
      <w:sz w:val="22"/>
      <w:szCs w:val="22"/>
      <w:lang w:val="en-US" w:eastAsia="en-US"/>
    </w:rPr>
  </w:style>
  <w:style w:type="paragraph" w:styleId="TableParagraph" w:customStyle="1">
    <w:name w:val="Table Paragraph"/>
    <w:basedOn w:val="Normal"/>
    <w:uiPriority w:val="1"/>
    <w:qFormat/>
    <w:rsid w:val="00e470bb"/>
    <w:pPr>
      <w:widowControl w:val="false"/>
    </w:pPr>
    <w:rPr>
      <w:rFonts w:eastAsia="Tw Cen MT"/>
      <w:i w:val="false"/>
      <w:sz w:val="22"/>
      <w:szCs w:val="22"/>
      <w:lang w:val="en-US" w:eastAsia="en-US"/>
    </w:rPr>
  </w:style>
  <w:style w:type="paragraph" w:styleId="BalloonText">
    <w:name w:val="Balloon Text"/>
    <w:basedOn w:val="Normal"/>
    <w:link w:val="TestofumettoCarattere"/>
    <w:uiPriority w:val="99"/>
    <w:semiHidden/>
    <w:unhideWhenUsed/>
    <w:qFormat/>
    <w:rsid w:val="00cd4ad5"/>
    <w:pPr/>
    <w:rPr>
      <w:rFonts w:ascii="Segoe UI" w:hAnsi="Segoe UI" w:cs="Segoe UI"/>
      <w:i w:val="false"/>
      <w:sz w:val="18"/>
      <w:szCs w:val="18"/>
      <w:lang w:eastAsia="en-US"/>
    </w:rPr>
  </w:style>
  <w:style w:type="paragraph" w:styleId="NormalWeb">
    <w:name w:val="Normal (Web)"/>
    <w:basedOn w:val="Normal"/>
    <w:uiPriority w:val="99"/>
    <w:unhideWhenUsed/>
    <w:qFormat/>
    <w:rsid w:val="00cd4ad5"/>
    <w:pPr>
      <w:spacing w:beforeAutospacing="1" w:after="119"/>
    </w:pPr>
    <w:rPr>
      <w:rFonts w:ascii="Times New Roman" w:hAnsi="Times New Roman" w:eastAsia="Times New Roman" w:cs="Times New Roman"/>
      <w:i w:val="false"/>
    </w:rPr>
  </w:style>
  <w:style w:type="paragraph" w:styleId="Header1" w:customStyle="1">
    <w:name w:val="Header1"/>
    <w:basedOn w:val="Normal"/>
    <w:next w:val="Intestazione"/>
    <w:link w:val="HeaderChar"/>
    <w:uiPriority w:val="99"/>
    <w:unhideWhenUsed/>
    <w:qFormat/>
    <w:rsid w:val="00cd4ad5"/>
    <w:pPr>
      <w:tabs>
        <w:tab w:val="center" w:pos="4819" w:leader="none"/>
        <w:tab w:val="right" w:pos="9638" w:leader="none"/>
      </w:tabs>
    </w:pPr>
    <w:rPr>
      <w:rFonts w:ascii="Calibri" w:hAnsi="Calibri" w:cs="Times New Roman"/>
      <w:i w:val="false"/>
      <w:sz w:val="20"/>
      <w:szCs w:val="20"/>
    </w:rPr>
  </w:style>
  <w:style w:type="paragraph" w:styleId="Intestazione">
    <w:name w:val="Header"/>
    <w:basedOn w:val="Normal"/>
    <w:link w:val="IntestazioneCarattere"/>
    <w:uiPriority w:val="99"/>
    <w:unhideWhenUsed/>
    <w:rsid w:val="00cd4ad5"/>
    <w:pPr>
      <w:tabs>
        <w:tab w:val="center" w:pos="4819" w:leader="none"/>
        <w:tab w:val="right" w:pos="9638" w:leader="none"/>
      </w:tabs>
    </w:pPr>
    <w:rPr/>
  </w:style>
  <w:style w:type="paragraph" w:styleId="Footer1" w:customStyle="1">
    <w:name w:val="Footer1"/>
    <w:basedOn w:val="Normal"/>
    <w:link w:val="FooterChar"/>
    <w:uiPriority w:val="99"/>
    <w:unhideWhenUsed/>
    <w:qFormat/>
    <w:rsid w:val="00cd4ad5"/>
    <w:pPr>
      <w:tabs>
        <w:tab w:val="center" w:pos="4819" w:leader="none"/>
        <w:tab w:val="right" w:pos="9638" w:leader="none"/>
      </w:tabs>
    </w:pPr>
    <w:rPr>
      <w:rFonts w:ascii="Calibri" w:hAnsi="Calibri" w:cs="Times New Roman"/>
      <w:i w:val="false"/>
      <w:sz w:val="20"/>
      <w:szCs w:val="20"/>
    </w:rPr>
  </w:style>
  <w:style w:type="paragraph" w:styleId="ListBullet2">
    <w:name w:val="List Bullet 2"/>
    <w:basedOn w:val="Normal"/>
    <w:uiPriority w:val="99"/>
    <w:unhideWhenUsed/>
    <w:qFormat/>
    <w:rsid w:val="00cd4ad5"/>
    <w:pPr>
      <w:spacing w:lineRule="exact" w:line="300" w:before="0" w:after="160"/>
      <w:contextualSpacing/>
    </w:pPr>
    <w:rPr>
      <w:rFonts w:cs="Times New Roman"/>
      <w:i w:val="false"/>
      <w:sz w:val="22"/>
      <w:szCs w:val="22"/>
      <w:lang w:eastAsia="en-US"/>
    </w:rPr>
  </w:style>
  <w:style w:type="paragraph" w:styleId="Pa64" w:customStyle="1">
    <w:name w:val="Pa64"/>
    <w:basedOn w:val="Normal"/>
    <w:uiPriority w:val="99"/>
    <w:qFormat/>
    <w:rsid w:val="00cd4ad5"/>
    <w:pPr>
      <w:spacing w:lineRule="atLeast" w:line="154"/>
    </w:pPr>
    <w:rPr>
      <w:rFonts w:ascii="ITC Avant Garde Std Bk" w:hAnsi="ITC Avant Garde Std Bk" w:cs="Times New Roman"/>
      <w:i w:val="false"/>
      <w:lang w:eastAsia="en-US"/>
    </w:rPr>
  </w:style>
  <w:style w:type="paragraph" w:styleId="Pa16" w:customStyle="1">
    <w:name w:val="Pa16"/>
    <w:basedOn w:val="Normal"/>
    <w:uiPriority w:val="99"/>
    <w:qFormat/>
    <w:rsid w:val="00cd4ad5"/>
    <w:pPr>
      <w:spacing w:lineRule="atLeast" w:line="154"/>
    </w:pPr>
    <w:rPr>
      <w:rFonts w:ascii="ITC Avant Garde Std Bk" w:hAnsi="ITC Avant Garde Std Bk" w:cs="Times New Roman"/>
      <w:i w:val="false"/>
      <w:lang w:eastAsia="en-US"/>
    </w:rPr>
  </w:style>
  <w:style w:type="paragraph" w:styleId="Pa68" w:customStyle="1">
    <w:name w:val="Pa68"/>
    <w:basedOn w:val="Normal"/>
    <w:uiPriority w:val="99"/>
    <w:qFormat/>
    <w:rsid w:val="00cd4ad5"/>
    <w:pPr>
      <w:spacing w:lineRule="atLeast" w:line="154"/>
    </w:pPr>
    <w:rPr>
      <w:rFonts w:ascii="ITC Avant Garde Std Bk" w:hAnsi="ITC Avant Garde Std Bk" w:cs="Times New Roman"/>
      <w:i w:val="false"/>
      <w:lang w:eastAsia="en-US"/>
    </w:rPr>
  </w:style>
  <w:style w:type="paragraph" w:styleId="Pa63" w:customStyle="1">
    <w:name w:val="Pa63"/>
    <w:basedOn w:val="Normal"/>
    <w:uiPriority w:val="99"/>
    <w:qFormat/>
    <w:rsid w:val="00cd4ad5"/>
    <w:pPr>
      <w:spacing w:lineRule="atLeast" w:line="154"/>
    </w:pPr>
    <w:rPr>
      <w:rFonts w:ascii="ITC Avant Garde Std Bk" w:hAnsi="ITC Avant Garde Std Bk" w:cs="Times New Roman"/>
      <w:i w:val="false"/>
      <w:lang w:eastAsia="en-US"/>
    </w:rPr>
  </w:style>
  <w:style w:type="paragraph" w:styleId="Pa73" w:customStyle="1">
    <w:name w:val="Pa73"/>
    <w:basedOn w:val="Normal"/>
    <w:uiPriority w:val="99"/>
    <w:qFormat/>
    <w:rsid w:val="00cd4ad5"/>
    <w:pPr>
      <w:spacing w:lineRule="atLeast" w:line="154"/>
    </w:pPr>
    <w:rPr>
      <w:rFonts w:ascii="ITC Avant Garde Std Bk" w:hAnsi="ITC Avant Garde Std Bk" w:cs="Times New Roman"/>
      <w:i w:val="false"/>
      <w:lang w:eastAsia="en-US"/>
    </w:rPr>
  </w:style>
  <w:style w:type="paragraph" w:styleId="Pa74" w:customStyle="1">
    <w:name w:val="Pa74"/>
    <w:basedOn w:val="Normal"/>
    <w:uiPriority w:val="99"/>
    <w:qFormat/>
    <w:rsid w:val="00cd4ad5"/>
    <w:pPr>
      <w:spacing w:lineRule="atLeast" w:line="154"/>
    </w:pPr>
    <w:rPr>
      <w:rFonts w:ascii="ITC Avant Garde Std Bk" w:hAnsi="ITC Avant Garde Std Bk" w:cs="Times New Roman"/>
      <w:i w:val="false"/>
      <w:lang w:eastAsia="en-US"/>
    </w:rPr>
  </w:style>
  <w:style w:type="paragraph" w:styleId="Default" w:customStyle="1">
    <w:name w:val="Default"/>
    <w:qFormat/>
    <w:rsid w:val="00cd4ad5"/>
    <w:pPr>
      <w:widowControl/>
      <w:bidi w:val="0"/>
      <w:jc w:val="left"/>
    </w:pPr>
    <w:rPr>
      <w:rFonts w:cs="Calibri" w:ascii="Calibri" w:hAnsi="Calibri" w:eastAsia="Calibri"/>
      <w:color w:val="000000"/>
      <w:kern w:val="0"/>
      <w:sz w:val="24"/>
      <w:szCs w:val="24"/>
      <w:lang w:eastAsia="en-US" w:val="it-IT" w:bidi="ar-SA"/>
    </w:rPr>
  </w:style>
  <w:style w:type="paragraph" w:styleId="PlainText">
    <w:name w:val="Plain Text"/>
    <w:basedOn w:val="Normal"/>
    <w:link w:val="TestonormaleCarattere"/>
    <w:uiPriority w:val="99"/>
    <w:unhideWhenUsed/>
    <w:qFormat/>
    <w:rsid w:val="00cd4ad5"/>
    <w:pPr/>
    <w:rPr>
      <w:rFonts w:ascii="Consolas" w:hAnsi="Consolas" w:cs="Times New Roman"/>
      <w:i w:val="false"/>
      <w:sz w:val="21"/>
      <w:szCs w:val="21"/>
      <w:lang w:eastAsia="en-US"/>
    </w:rPr>
  </w:style>
  <w:style w:type="paragraph" w:styleId="BodyText2">
    <w:name w:val="Body Text 2"/>
    <w:basedOn w:val="Normal"/>
    <w:link w:val="Corpodeltesto2Carattere"/>
    <w:unhideWhenUsed/>
    <w:qFormat/>
    <w:rsid w:val="00cd4ad5"/>
    <w:pPr/>
    <w:rPr>
      <w:rFonts w:ascii="Arial" w:hAnsi="Arial" w:eastAsia="Times New Roman" w:cs="Arial"/>
      <w:i w:val="false"/>
      <w:color w:val="000000"/>
    </w:rPr>
  </w:style>
  <w:style w:type="paragraph" w:styleId="Contenutotabella" w:customStyle="1">
    <w:name w:val="Contenuto tabella"/>
    <w:basedOn w:val="Normal"/>
    <w:uiPriority w:val="99"/>
    <w:qFormat/>
    <w:rsid w:val="00cd4ad5"/>
    <w:pPr>
      <w:suppressLineNumbers/>
      <w:suppressAutoHyphens w:val="true"/>
    </w:pPr>
    <w:rPr>
      <w:rFonts w:ascii="Times New Roman" w:hAnsi="Times New Roman" w:eastAsia="Times New Roman" w:cs="Times New Roman"/>
      <w:i w:val="false"/>
      <w:lang w:eastAsia="zh-CN"/>
    </w:rPr>
  </w:style>
  <w:style w:type="paragraph" w:styleId="Paragrafoelenco1" w:customStyle="1">
    <w:name w:val="Paragrafo elenco1"/>
    <w:basedOn w:val="Normal"/>
    <w:qFormat/>
    <w:rsid w:val="00cd4ad5"/>
    <w:pPr>
      <w:suppressAutoHyphens w:val="true"/>
      <w:ind w:left="708" w:hanging="0"/>
    </w:pPr>
    <w:rPr>
      <w:rFonts w:ascii="Times New Roman" w:hAnsi="Times New Roman" w:eastAsia="Times New Roman" w:cs="Times New Roman"/>
      <w:i w:val="false"/>
      <w:lang w:eastAsia="zh-CN"/>
    </w:rPr>
  </w:style>
  <w:style w:type="paragraph" w:styleId="Corpotesto1" w:customStyle="1">
    <w:name w:val="Corpo testo1"/>
    <w:uiPriority w:val="99"/>
    <w:qFormat/>
    <w:rsid w:val="00cd4ad5"/>
    <w:pPr>
      <w:widowControl w:val="false"/>
      <w:bidi w:val="0"/>
      <w:snapToGrid w:val="false"/>
      <w:jc w:val="left"/>
    </w:pPr>
    <w:rPr>
      <w:rFonts w:ascii="Times New Roman" w:hAnsi="Times New Roman" w:eastAsia="Times New Roman" w:cs="Times New Roman"/>
      <w:color w:val="000000"/>
      <w:kern w:val="0"/>
      <w:sz w:val="28"/>
      <w:szCs w:val="20"/>
      <w:lang w:val="it-IT" w:eastAsia="it-IT" w:bidi="ar-SA"/>
    </w:rPr>
  </w:style>
  <w:style w:type="paragraph" w:styleId="CommentText1" w:customStyle="1">
    <w:name w:val="Comment Text1"/>
    <w:basedOn w:val="Normal"/>
    <w:link w:val="CommentTextChar"/>
    <w:uiPriority w:val="99"/>
    <w:semiHidden/>
    <w:unhideWhenUsed/>
    <w:qFormat/>
    <w:rsid w:val="00cd4ad5"/>
    <w:pPr>
      <w:spacing w:before="0" w:after="200"/>
    </w:pPr>
    <w:rPr>
      <w:rFonts w:ascii="Calibri" w:hAnsi="Calibri" w:cs="Times New Roman"/>
      <w:i w:val="false"/>
      <w:sz w:val="20"/>
      <w:szCs w:val="20"/>
    </w:rPr>
  </w:style>
  <w:style w:type="paragraph" w:styleId="Annotationtext">
    <w:name w:val="annotation text"/>
    <w:basedOn w:val="Normal"/>
    <w:link w:val="TestocommentoCarattere"/>
    <w:uiPriority w:val="99"/>
    <w:semiHidden/>
    <w:unhideWhenUsed/>
    <w:qFormat/>
    <w:rsid w:val="00cd4ad5"/>
    <w:pPr/>
    <w:rPr>
      <w:sz w:val="20"/>
      <w:szCs w:val="20"/>
    </w:rPr>
  </w:style>
  <w:style w:type="paragraph" w:styleId="Annotationsubject">
    <w:name w:val="annotation subject"/>
    <w:basedOn w:val="Annotationtext"/>
    <w:link w:val="SoggettocommentoCarattere"/>
    <w:uiPriority w:val="99"/>
    <w:semiHidden/>
    <w:unhideWhenUsed/>
    <w:qFormat/>
    <w:rsid w:val="00cd4ad5"/>
    <w:pPr>
      <w:spacing w:before="0" w:after="200"/>
    </w:pPr>
    <w:rPr>
      <w:rFonts w:ascii="Calibri" w:hAnsi="Calibri" w:cs="Times New Roman"/>
      <w:b/>
      <w:bCs/>
      <w:i w:val="false"/>
      <w:lang w:eastAsia="en-US"/>
    </w:rPr>
  </w:style>
  <w:style w:type="paragraph" w:styleId="Pa23" w:customStyle="1">
    <w:name w:val="Pa23"/>
    <w:basedOn w:val="Normal"/>
    <w:uiPriority w:val="99"/>
    <w:qFormat/>
    <w:rsid w:val="00cd4ad5"/>
    <w:pPr>
      <w:spacing w:lineRule="atLeast" w:line="241"/>
    </w:pPr>
    <w:rPr>
      <w:rFonts w:ascii="ITC Avant Garde Std Bk" w:hAnsi="ITC Avant Garde Std Bk" w:cs="Times New Roman"/>
      <w:i w:val="false"/>
      <w:lang w:eastAsia="en-US"/>
    </w:rPr>
  </w:style>
  <w:style w:type="paragraph" w:styleId="TOCHeading1" w:customStyle="1">
    <w:name w:val="TOC Heading1"/>
    <w:basedOn w:val="Titolo1"/>
    <w:uiPriority w:val="39"/>
    <w:unhideWhenUsed/>
    <w:qFormat/>
    <w:rsid w:val="00cd4ad5"/>
    <w:pPr>
      <w:spacing w:lineRule="auto" w:line="259"/>
    </w:pPr>
    <w:rPr>
      <w:rFonts w:ascii="Calibri Light" w:hAnsi="Calibri Light" w:cs="Times New Roman"/>
      <w:b w:val="false"/>
      <w:iCs w:val="false"/>
      <w:color w:val="2E74B5"/>
      <w:sz w:val="32"/>
    </w:rPr>
  </w:style>
  <w:style w:type="paragraph" w:styleId="TOC81" w:customStyle="1">
    <w:name w:val="TOC 81"/>
    <w:basedOn w:val="Normal"/>
    <w:autoRedefine/>
    <w:uiPriority w:val="39"/>
    <w:semiHidden/>
    <w:unhideWhenUsed/>
    <w:qFormat/>
    <w:rsid w:val="00cd4ad5"/>
    <w:pPr>
      <w:spacing w:lineRule="auto" w:line="276" w:before="0" w:after="100"/>
      <w:ind w:left="1540" w:hanging="0"/>
    </w:pPr>
    <w:rPr>
      <w:rFonts w:ascii="Calibri" w:hAnsi="Calibri" w:cs="Times New Roman"/>
      <w:i w:val="false"/>
      <w:sz w:val="22"/>
      <w:szCs w:val="22"/>
      <w:lang w:eastAsia="en-US"/>
    </w:rPr>
  </w:style>
  <w:style w:type="paragraph" w:styleId="TOC71" w:customStyle="1">
    <w:name w:val="TOC 71"/>
    <w:basedOn w:val="Normal"/>
    <w:autoRedefine/>
    <w:uiPriority w:val="39"/>
    <w:semiHidden/>
    <w:unhideWhenUsed/>
    <w:qFormat/>
    <w:rsid w:val="00cd4ad5"/>
    <w:pPr>
      <w:spacing w:lineRule="auto" w:line="276" w:before="0" w:after="100"/>
      <w:ind w:left="1320" w:hanging="0"/>
    </w:pPr>
    <w:rPr>
      <w:rFonts w:ascii="Calibri" w:hAnsi="Calibri" w:cs="Times New Roman"/>
      <w:i w:val="false"/>
      <w:sz w:val="22"/>
      <w:szCs w:val="22"/>
      <w:lang w:eastAsia="en-US"/>
    </w:rPr>
  </w:style>
  <w:style w:type="paragraph" w:styleId="Pidipagina">
    <w:name w:val="Footer"/>
    <w:basedOn w:val="Normal"/>
    <w:link w:val="PidipaginaCarattere"/>
    <w:uiPriority w:val="99"/>
    <w:unhideWhenUsed/>
    <w:rsid w:val="00cd4ad5"/>
    <w:pPr>
      <w:tabs>
        <w:tab w:val="center" w:pos="4819" w:leader="none"/>
        <w:tab w:val="right" w:pos="9638" w:leader="none"/>
      </w:tabs>
    </w:pPr>
    <w:rPr/>
  </w:style>
  <w:style w:type="paragraph" w:styleId="TOCHeading">
    <w:name w:val="TOC Heading"/>
    <w:basedOn w:val="Titolo1"/>
    <w:uiPriority w:val="39"/>
    <w:unhideWhenUsed/>
    <w:qFormat/>
    <w:rsid w:val="00b16404"/>
    <w:pPr>
      <w:spacing w:lineRule="auto" w:line="259"/>
    </w:pPr>
    <w:rPr>
      <w:rFonts w:ascii="Calibri Light" w:hAnsi="Calibri Light" w:cs="" w:asciiTheme="majorHAnsi" w:cstheme="majorBidi" w:hAnsiTheme="majorHAnsi"/>
      <w:b w:val="false"/>
      <w:iCs w:val="false"/>
      <w:color w:val="2E74B5" w:themeColor="accent1" w:themeShade="bf"/>
      <w:sz w:val="32"/>
    </w:rPr>
  </w:style>
  <w:style w:type="paragraph" w:styleId="Standard" w:customStyle="1">
    <w:name w:val="Standard"/>
    <w:qFormat/>
    <w:rsid w:val="00710a68"/>
    <w:pPr>
      <w:widowControl/>
      <w:suppressAutoHyphens w:val="true"/>
      <w:bidi w:val="0"/>
      <w:jc w:val="left"/>
      <w:textAlignment w:val="baseline"/>
    </w:pPr>
    <w:rPr>
      <w:rFonts w:ascii="Verdana" w:hAnsi="Verdana" w:eastAsia="Times New Roman" w:cs="Times New Roman"/>
      <w:color w:val="auto"/>
      <w:kern w:val="2"/>
      <w:sz w:val="24"/>
      <w:szCs w:val="24"/>
      <w:lang w:val="it-IT" w:eastAsia="it-IT" w:bidi="ar-SA"/>
    </w:rPr>
  </w:style>
  <w:style w:type="paragraph" w:styleId="CM23" w:customStyle="1">
    <w:name w:val="CM23"/>
    <w:basedOn w:val="Default"/>
    <w:next w:val="Default"/>
    <w:uiPriority w:val="99"/>
    <w:qFormat/>
    <w:rsid w:val="00667689"/>
    <w:pPr>
      <w:widowControl w:val="false"/>
      <w:spacing w:before="0" w:after="278"/>
    </w:pPr>
    <w:rPr>
      <w:rFonts w:ascii="Times New Roman" w:hAnsi="Times New Roman" w:eastAsia="Times New Roman" w:cs="Times New Roman"/>
      <w:color w:val="auto"/>
      <w:lang w:eastAsia="it-IT"/>
    </w:rPr>
  </w:style>
  <w:style w:type="paragraph" w:styleId="ListBullet">
    <w:name w:val="List Bullet"/>
    <w:basedOn w:val="Normal"/>
    <w:uiPriority w:val="99"/>
    <w:unhideWhenUsed/>
    <w:qFormat/>
    <w:rsid w:val="008d5e18"/>
    <w:pPr>
      <w:spacing w:before="0" w:after="0"/>
      <w:contextualSpacing/>
    </w:pPr>
    <w:rPr/>
  </w:style>
  <w:style w:type="paragraph" w:styleId="BodyText3">
    <w:name w:val="Body Text 3"/>
    <w:basedOn w:val="Normal"/>
    <w:link w:val="Corpodeltesto3Carattere"/>
    <w:uiPriority w:val="99"/>
    <w:semiHidden/>
    <w:unhideWhenUsed/>
    <w:qFormat/>
    <w:rsid w:val="00de584e"/>
    <w:pPr>
      <w:spacing w:before="0" w:after="120"/>
    </w:pPr>
    <w:rPr>
      <w:sz w:val="16"/>
      <w:szCs w:val="16"/>
    </w:rPr>
  </w:style>
  <w:style w:type="paragraph" w:styleId="Revision">
    <w:name w:val="Revision"/>
    <w:uiPriority w:val="99"/>
    <w:semiHidden/>
    <w:qFormat/>
    <w:rsid w:val="002d0643"/>
    <w:pPr>
      <w:widowControl/>
      <w:bidi w:val="0"/>
      <w:jc w:val="left"/>
    </w:pPr>
    <w:rPr>
      <w:rFonts w:ascii="Tw Cen MT" w:hAnsi="Tw Cen MT" w:cs="Tw Cen MT" w:eastAsia="Calibri"/>
      <w:i/>
      <w:color w:val="auto"/>
      <w:kern w:val="0"/>
      <w:sz w:val="24"/>
      <w:szCs w:val="24"/>
      <w:lang w:val="it-IT" w:eastAsia="it-IT" w:bidi="ar-SA"/>
    </w:rPr>
  </w:style>
  <w:style w:type="paragraph" w:styleId="Pa38" w:customStyle="1">
    <w:name w:val="Pa38"/>
    <w:basedOn w:val="Normal"/>
    <w:uiPriority w:val="99"/>
    <w:qFormat/>
    <w:rsid w:val="009c59d6"/>
    <w:pPr>
      <w:spacing w:lineRule="atLeast" w:line="241"/>
    </w:pPr>
    <w:rPr>
      <w:rFonts w:ascii="ITC Avant Garde Std Bk" w:hAnsi="ITC Avant Garde Std Bk" w:cs="Times New Roman"/>
      <w:i w:val="false"/>
      <w:lang w:eastAsia="en-US"/>
    </w:rPr>
  </w:style>
  <w:style w:type="paragraph" w:styleId="Paragrafoelenco2" w:customStyle="1">
    <w:name w:val="Paragrafo elenco2"/>
    <w:basedOn w:val="Normal"/>
    <w:uiPriority w:val="99"/>
    <w:qFormat/>
    <w:rsid w:val="009c59d6"/>
    <w:pPr>
      <w:suppressAutoHyphens w:val="true"/>
      <w:ind w:left="708" w:hanging="0"/>
    </w:pPr>
    <w:rPr>
      <w:rFonts w:ascii="Times New Roman" w:hAnsi="Times New Roman" w:eastAsia="Times New Roman" w:cs="Times New Roman"/>
      <w:i w:val="false"/>
      <w:lang w:eastAsia="zh-CN"/>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e470bb"/>
  </w:style>
  <w:style w:type="numbering" w:styleId="NoList2" w:customStyle="1">
    <w:name w:val="No List2"/>
    <w:uiPriority w:val="99"/>
    <w:semiHidden/>
    <w:unhideWhenUsed/>
    <w:qFormat/>
    <w:rsid w:val="00cd4ad5"/>
  </w:style>
  <w:style w:type="numbering" w:styleId="Nessunelenco1" w:customStyle="1">
    <w:name w:val="Nessun elenco1"/>
    <w:uiPriority w:val="99"/>
    <w:semiHidden/>
    <w:unhideWhenUsed/>
    <w:qFormat/>
    <w:rsid w:val="00cd4ad5"/>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Style1">
    <w:name w:val="Style1"/>
    <w:basedOn w:val="Tabellanormale"/>
    <w:uiPriority w:val="99"/>
    <w:rsid w:val="0006635b"/>
    <w:rPr>
      <w:color w:val="00B0F0"/>
    </w:rPr>
    <w:tblPr>
      <w:tblBorders>
        <w:insideH w:val="single" w:color="00B0F0" w:sz="4" w:space="0"/>
      </w:tblBorders>
    </w:tblPr>
  </w:style>
  <w:style w:type="table" w:styleId="Grigliatabella">
    <w:name w:val="Table Grid"/>
    <w:basedOn w:val="Tabellanormale"/>
    <w:uiPriority w:val="39"/>
    <w:rsid w:val="000f6b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ellanormale"/>
    <w:uiPriority w:val="3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5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uiPriority w:val="5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4">
    <w:name w:val="Griglia tabella4"/>
    <w:basedOn w:val="Tabellanormale"/>
    <w:uiPriority w:val="3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5">
    <w:name w:val="Griglia tabella5"/>
    <w:basedOn w:val="Tabellanormale"/>
    <w:uiPriority w:val="5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6">
    <w:name w:val="Griglia tabella6"/>
    <w:basedOn w:val="Tabellanormale"/>
    <w:uiPriority w:val="39"/>
    <w:rsid w:val="00cd4ad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7">
    <w:name w:val="Griglia tabella7"/>
    <w:basedOn w:val="Tabellanormale"/>
    <w:uiPriority w:val="39"/>
    <w:rsid w:val="00a51e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8">
    <w:name w:val="Griglia tabella8"/>
    <w:basedOn w:val="Tabellanormale"/>
    <w:uiPriority w:val="39"/>
    <w:rsid w:val="00cf2e8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9">
    <w:name w:val="Griglia tabella9"/>
    <w:basedOn w:val="Tabellanormale"/>
    <w:uiPriority w:val="59"/>
    <w:rsid w:val="005f73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id.gov.it/sites/default/files/leggi_decreti_direttive/regolamento_eidas.pdf" TargetMode="External"/><Relationship Id="rId3" Type="http://schemas.openxmlformats.org/officeDocument/2006/relationships/hyperlink" Target="https://eidas.agid.gov.it/TL/Regulation/REGOLAMENTO_eIDAS.pdf" TargetMode="External"/><Relationship Id="rId4" Type="http://schemas.openxmlformats.org/officeDocument/2006/relationships/hyperlink" Target="https://eidas.agid.gov.it/TL/Regulation/Decisione_2015-1506.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37FB-E441-46AF-AEF3-CE607518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LibreOffice/6.0.4.2$Windows_X86_64 LibreOffice_project/9b0d9b32d5dcda91d2f1a96dc04c645c450872bf</Application>
  <Pages>7</Pages>
  <Words>3076</Words>
  <Characters>17579</Characters>
  <CharactersWithSpaces>20574</CharactersWithSpaces>
  <Paragraphs>95</Paragraphs>
  <Company>Regione Lombardia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2018-09-26T09:59:00Z</dcterms:created>
  <dc:creator>Gessyca Golia</dc:creator>
  <dc:description/>
  <dc:language>it-IT</dc:language>
  <cp:lastModifiedBy/>
  <cp:lastPrinted>2018-06-26T14:56:00Z</cp:lastPrinted>
  <dcterms:modified xsi:type="dcterms:W3CDTF">2018-11-19T17:11:22Z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Lombardia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